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AA3" w:rsidRPr="00B662A3" w:rsidRDefault="00EB5AA3" w:rsidP="00B662A3"/>
    <w:p w:rsidR="003B1F8E" w:rsidRDefault="003B1F8E" w:rsidP="00B662A3">
      <w:pPr>
        <w:ind w:left="0"/>
        <w:rPr>
          <w:rFonts w:asciiTheme="majorHAnsi" w:hAnsiTheme="majorHAnsi"/>
          <w:sz w:val="32"/>
        </w:rPr>
      </w:pPr>
    </w:p>
    <w:p w:rsidR="00EB5AA3" w:rsidRPr="00246F92" w:rsidRDefault="00EB5AA3" w:rsidP="00B662A3">
      <w:pPr>
        <w:ind w:left="0"/>
        <w:rPr>
          <w:rFonts w:asciiTheme="majorHAnsi" w:hAnsiTheme="majorHAnsi"/>
          <w:sz w:val="28"/>
        </w:rPr>
      </w:pPr>
      <w:r w:rsidRPr="00246F92">
        <w:rPr>
          <w:rFonts w:asciiTheme="majorHAnsi" w:hAnsiTheme="majorHAnsi"/>
          <w:sz w:val="28"/>
        </w:rPr>
        <w:t>TSCA NEW CHEMICALS PROGRAM</w:t>
      </w:r>
      <w:r w:rsidR="00246F92">
        <w:rPr>
          <w:rFonts w:asciiTheme="majorHAnsi" w:hAnsiTheme="majorHAnsi"/>
          <w:sz w:val="28"/>
        </w:rPr>
        <w:tab/>
      </w:r>
      <w:r w:rsidR="00246F92">
        <w:rPr>
          <w:rFonts w:asciiTheme="majorHAnsi" w:hAnsiTheme="majorHAnsi"/>
          <w:sz w:val="28"/>
        </w:rPr>
        <w:tab/>
      </w:r>
      <w:r w:rsidR="00246F92">
        <w:rPr>
          <w:rFonts w:asciiTheme="majorHAnsi" w:hAnsiTheme="majorHAnsi"/>
          <w:sz w:val="28"/>
        </w:rPr>
        <w:tab/>
      </w:r>
      <w:r w:rsidR="00246F92">
        <w:rPr>
          <w:rFonts w:asciiTheme="majorHAnsi" w:hAnsiTheme="majorHAnsi"/>
          <w:sz w:val="28"/>
        </w:rPr>
        <w:tab/>
      </w:r>
      <w:r w:rsidR="00246F92">
        <w:rPr>
          <w:rFonts w:asciiTheme="majorHAnsi" w:hAnsiTheme="majorHAnsi"/>
          <w:sz w:val="28"/>
        </w:rPr>
        <w:tab/>
      </w:r>
      <w:r w:rsidR="00246F92">
        <w:rPr>
          <w:rFonts w:asciiTheme="majorHAnsi" w:hAnsiTheme="majorHAnsi"/>
          <w:sz w:val="28"/>
        </w:rPr>
        <w:tab/>
      </w:r>
      <w:r w:rsidR="00246F92">
        <w:rPr>
          <w:rFonts w:asciiTheme="majorHAnsi" w:hAnsiTheme="majorHAnsi"/>
          <w:sz w:val="28"/>
        </w:rPr>
        <w:tab/>
      </w:r>
      <w:r w:rsidR="00246F92" w:rsidRPr="00246F92">
        <w:rPr>
          <w:rFonts w:asciiTheme="majorHAnsi" w:hAnsiTheme="majorHAnsi"/>
          <w:sz w:val="28"/>
        </w:rPr>
        <w:t>June 2010</w:t>
      </w:r>
    </w:p>
    <w:p w:rsidR="00EE2475" w:rsidRPr="00B662A3" w:rsidRDefault="001930C3" w:rsidP="00246F92">
      <w:pPr>
        <w:pStyle w:val="MessageHeaderLast"/>
        <w:pBdr>
          <w:bottom w:val="single" w:sz="4" w:space="1" w:color="auto"/>
        </w:pBdr>
        <w:ind w:left="720"/>
        <w:rPr>
          <w:rFonts w:asciiTheme="majorHAnsi" w:hAnsiTheme="majorHAnsi"/>
          <w:i/>
          <w:sz w:val="24"/>
        </w:rPr>
      </w:pPr>
      <w:r w:rsidRPr="00B662A3">
        <w:rPr>
          <w:rFonts w:asciiTheme="majorHAnsi" w:hAnsiTheme="majorHAnsi"/>
          <w:b/>
          <w:i/>
          <w:sz w:val="24"/>
        </w:rPr>
        <w:t>Chemical Pre-manufacturing Notice Requirements</w:t>
      </w:r>
    </w:p>
    <w:p w:rsidR="00EB5AA3" w:rsidRPr="00EB5AA3" w:rsidRDefault="00EB5AA3" w:rsidP="00B662A3">
      <w:pPr>
        <w:spacing w:after="200" w:line="276" w:lineRule="auto"/>
        <w:ind w:left="0"/>
        <w:jc w:val="both"/>
        <w:rPr>
          <w:rFonts w:asciiTheme="majorHAnsi" w:eastAsiaTheme="minorHAnsi" w:hAnsiTheme="majorHAnsi" w:cstheme="minorBidi"/>
          <w:b/>
          <w:spacing w:val="0"/>
          <w:sz w:val="22"/>
          <w:szCs w:val="22"/>
        </w:rPr>
      </w:pPr>
      <w:r w:rsidRPr="00EB5AA3">
        <w:rPr>
          <w:rFonts w:asciiTheme="majorHAnsi" w:eastAsiaTheme="minorHAnsi" w:hAnsiTheme="majorHAnsi" w:cstheme="minorBidi"/>
          <w:b/>
          <w:spacing w:val="0"/>
          <w:sz w:val="22"/>
          <w:szCs w:val="22"/>
        </w:rPr>
        <w:t>BACKGROUND</w:t>
      </w:r>
    </w:p>
    <w:p w:rsidR="00B706B6" w:rsidRPr="00B706B6" w:rsidRDefault="00B706B6" w:rsidP="00B662A3">
      <w:pPr>
        <w:spacing w:after="200" w:line="276" w:lineRule="auto"/>
        <w:ind w:left="0"/>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 xml:space="preserve">Section 5 of the Toxic Substances Control Act (TSCA) mandates that new chemicals and chemicals subject to significant new-use rules (SNURS) must be reviewed by EPA’s Office of Pollution Prevention and Toxics (OPPT) under New Chemicals Program prior to being manufactured, imported, or distributed in the United States. </w:t>
      </w:r>
    </w:p>
    <w:p w:rsidR="00B706B6" w:rsidRPr="00B706B6" w:rsidRDefault="00B706B6" w:rsidP="00B662A3">
      <w:pPr>
        <w:spacing w:after="200" w:line="276" w:lineRule="auto"/>
        <w:ind w:left="0"/>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Section 5(h)(3) of the TSCA allows the Administrator of EPA to develop regulations exempting manufacturers and processors of chemical substances subject to the TSCA from the notice requirements of section 5(a) if,</w:t>
      </w:r>
    </w:p>
    <w:p w:rsidR="00B706B6" w:rsidRPr="00B706B6" w:rsidRDefault="00B706B6" w:rsidP="00B662A3">
      <w:pPr>
        <w:numPr>
          <w:ilvl w:val="0"/>
          <w:numId w:val="13"/>
        </w:numPr>
        <w:spacing w:after="200" w:line="276" w:lineRule="auto"/>
        <w:ind w:left="1230"/>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They manufacture or process the substances "</w:t>
      </w:r>
      <w:r w:rsidRPr="00B706B6">
        <w:rPr>
          <w:rFonts w:asciiTheme="majorHAnsi" w:eastAsiaTheme="minorHAnsi" w:hAnsiTheme="majorHAnsi" w:cstheme="minorBidi"/>
          <w:b/>
          <w:i/>
          <w:iCs/>
          <w:spacing w:val="0"/>
          <w:sz w:val="22"/>
          <w:szCs w:val="22"/>
        </w:rPr>
        <w:t>only in small quantities</w:t>
      </w:r>
      <w:r w:rsidRPr="00B706B6">
        <w:rPr>
          <w:rFonts w:asciiTheme="majorHAnsi" w:eastAsiaTheme="minorHAnsi" w:hAnsiTheme="majorHAnsi" w:cstheme="minorBidi"/>
          <w:i/>
          <w:iCs/>
          <w:spacing w:val="0"/>
          <w:sz w:val="22"/>
          <w:szCs w:val="22"/>
        </w:rPr>
        <w:t xml:space="preserve"> </w:t>
      </w:r>
      <w:r w:rsidRPr="00B706B6">
        <w:rPr>
          <w:rFonts w:asciiTheme="majorHAnsi" w:eastAsiaTheme="minorHAnsi" w:hAnsiTheme="majorHAnsi" w:cstheme="minorBidi"/>
          <w:spacing w:val="0"/>
          <w:sz w:val="22"/>
          <w:szCs w:val="22"/>
        </w:rPr>
        <w:t xml:space="preserve">solely for the purposes of </w:t>
      </w:r>
      <w:r w:rsidRPr="00B706B6">
        <w:rPr>
          <w:rFonts w:asciiTheme="majorHAnsi" w:eastAsiaTheme="minorHAnsi" w:hAnsiTheme="majorHAnsi" w:cstheme="minorBidi"/>
          <w:b/>
          <w:i/>
          <w:iCs/>
          <w:spacing w:val="0"/>
          <w:sz w:val="22"/>
          <w:szCs w:val="22"/>
        </w:rPr>
        <w:t>scientific experimentation or analysis</w:t>
      </w:r>
      <w:r w:rsidRPr="00B706B6">
        <w:rPr>
          <w:rFonts w:asciiTheme="majorHAnsi" w:eastAsiaTheme="minorHAnsi" w:hAnsiTheme="majorHAnsi" w:cstheme="minorBidi"/>
          <w:b/>
          <w:spacing w:val="0"/>
          <w:sz w:val="22"/>
          <w:szCs w:val="22"/>
        </w:rPr>
        <w:t xml:space="preserve"> </w:t>
      </w:r>
      <w:r w:rsidRPr="00B706B6">
        <w:rPr>
          <w:rFonts w:asciiTheme="majorHAnsi" w:eastAsiaTheme="minorHAnsi" w:hAnsiTheme="majorHAnsi" w:cstheme="minorBidi"/>
          <w:b/>
          <w:i/>
          <w:iCs/>
          <w:spacing w:val="0"/>
          <w:sz w:val="22"/>
          <w:szCs w:val="22"/>
        </w:rPr>
        <w:t>or chemical research</w:t>
      </w:r>
      <w:r w:rsidRPr="00B706B6">
        <w:rPr>
          <w:rFonts w:asciiTheme="majorHAnsi" w:eastAsiaTheme="minorHAnsi" w:hAnsiTheme="majorHAnsi" w:cstheme="minorBidi"/>
          <w:spacing w:val="0"/>
          <w:sz w:val="22"/>
          <w:szCs w:val="22"/>
        </w:rPr>
        <w:t xml:space="preserve"> for the development of a product." </w:t>
      </w:r>
    </w:p>
    <w:p w:rsidR="00B706B6" w:rsidRPr="00B706B6" w:rsidRDefault="00B706B6" w:rsidP="00B662A3">
      <w:pPr>
        <w:numPr>
          <w:ilvl w:val="0"/>
          <w:numId w:val="13"/>
        </w:numPr>
        <w:spacing w:after="200" w:line="276" w:lineRule="auto"/>
        <w:ind w:left="1230"/>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 xml:space="preserve">No application is required for the exemption for R&amp;D under section 5(h)(3). </w:t>
      </w:r>
    </w:p>
    <w:p w:rsidR="00B706B6" w:rsidRPr="00B706B6" w:rsidRDefault="00B706B6" w:rsidP="00B662A3">
      <w:pPr>
        <w:numPr>
          <w:ilvl w:val="0"/>
          <w:numId w:val="13"/>
        </w:numPr>
        <w:spacing w:after="200" w:line="276" w:lineRule="auto"/>
        <w:ind w:left="1230"/>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Procedural and recordkeeping requirements for the exemption have been promulgated at 40 CFR section 720.3(cc), section 720.36 and section 720.78.</w:t>
      </w:r>
    </w:p>
    <w:p w:rsidR="00B706B6" w:rsidRPr="00EB5AA3" w:rsidRDefault="00B706B6" w:rsidP="00B662A3">
      <w:pPr>
        <w:spacing w:after="200" w:line="276" w:lineRule="auto"/>
        <w:ind w:left="0"/>
        <w:jc w:val="both"/>
        <w:rPr>
          <w:rFonts w:asciiTheme="majorHAnsi" w:eastAsiaTheme="minorHAnsi" w:hAnsiTheme="majorHAnsi" w:cstheme="minorBidi"/>
          <w:i/>
          <w:spacing w:val="0"/>
          <w:sz w:val="22"/>
          <w:szCs w:val="22"/>
        </w:rPr>
      </w:pPr>
      <w:r w:rsidRPr="00EB5AA3">
        <w:rPr>
          <w:rFonts w:asciiTheme="majorHAnsi" w:eastAsiaTheme="minorHAnsi" w:hAnsiTheme="majorHAnsi" w:cstheme="minorBidi"/>
          <w:i/>
          <w:spacing w:val="0"/>
          <w:sz w:val="22"/>
          <w:szCs w:val="22"/>
        </w:rPr>
        <w:t xml:space="preserve">The burden of proving eligibility for the R&amp;D exemption is entirely with the person claiming it. </w:t>
      </w:r>
    </w:p>
    <w:p w:rsidR="00EB5AA3" w:rsidRPr="00EB5AA3" w:rsidRDefault="00EB5AA3" w:rsidP="00B662A3">
      <w:pPr>
        <w:spacing w:after="200" w:line="276" w:lineRule="auto"/>
        <w:ind w:left="0"/>
        <w:jc w:val="both"/>
        <w:rPr>
          <w:rFonts w:asciiTheme="majorHAnsi" w:eastAsiaTheme="minorHAnsi" w:hAnsiTheme="majorHAnsi" w:cstheme="minorBidi"/>
          <w:b/>
          <w:spacing w:val="0"/>
          <w:sz w:val="22"/>
          <w:szCs w:val="22"/>
        </w:rPr>
      </w:pPr>
      <w:r w:rsidRPr="00EB5AA3">
        <w:rPr>
          <w:rFonts w:asciiTheme="majorHAnsi" w:eastAsiaTheme="minorHAnsi" w:hAnsiTheme="majorHAnsi" w:cstheme="minorBidi"/>
          <w:b/>
          <w:spacing w:val="0"/>
          <w:sz w:val="22"/>
          <w:szCs w:val="22"/>
        </w:rPr>
        <w:t>BOTTOM-LINE</w:t>
      </w:r>
    </w:p>
    <w:p w:rsidR="00B706B6" w:rsidRPr="00B706B6" w:rsidRDefault="00B706B6" w:rsidP="00B662A3">
      <w:pPr>
        <w:spacing w:after="200" w:line="276" w:lineRule="auto"/>
        <w:ind w:left="0"/>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 xml:space="preserve">EPA advises those claiming the exemption to be prepared to justify their claim to EPA in adequate detail. In addition to the specific requirements for the R&amp;D exemption at 40 CFR section 720.36(c)(2), that if a company distributes an R&amp;D substance outside of its employ it must </w:t>
      </w:r>
    </w:p>
    <w:p w:rsidR="00B706B6" w:rsidRPr="00B706B6" w:rsidRDefault="00B706B6" w:rsidP="00B662A3">
      <w:pPr>
        <w:numPr>
          <w:ilvl w:val="0"/>
          <w:numId w:val="14"/>
        </w:numPr>
        <w:spacing w:after="200" w:line="276" w:lineRule="auto"/>
        <w:ind w:left="1195"/>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 xml:space="preserve">Notify that the use is for R&amp;D only and </w:t>
      </w:r>
    </w:p>
    <w:p w:rsidR="00B706B6" w:rsidRPr="00B706B6" w:rsidRDefault="00B706B6" w:rsidP="00B662A3">
      <w:pPr>
        <w:numPr>
          <w:ilvl w:val="0"/>
          <w:numId w:val="14"/>
        </w:numPr>
        <w:spacing w:after="200" w:line="276" w:lineRule="auto"/>
        <w:ind w:left="1195"/>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 xml:space="preserve">Provide notice of any health risk, please note that 40 CFR section 720.36(c)(3) establishes that adequacy of notification is the responsibility of the manufacturer. </w:t>
      </w:r>
    </w:p>
    <w:p w:rsidR="009928AA" w:rsidRDefault="00B706B6" w:rsidP="00B662A3">
      <w:pPr>
        <w:numPr>
          <w:ilvl w:val="0"/>
          <w:numId w:val="14"/>
        </w:numPr>
        <w:spacing w:after="200" w:line="276" w:lineRule="auto"/>
        <w:ind w:left="1195"/>
        <w:jc w:val="both"/>
        <w:rPr>
          <w:rFonts w:asciiTheme="majorHAnsi" w:eastAsiaTheme="minorHAnsi" w:hAnsiTheme="majorHAnsi" w:cstheme="minorBidi"/>
          <w:spacing w:val="0"/>
          <w:sz w:val="22"/>
          <w:szCs w:val="22"/>
        </w:rPr>
      </w:pPr>
      <w:r w:rsidRPr="00B706B6">
        <w:rPr>
          <w:rFonts w:asciiTheme="majorHAnsi" w:eastAsiaTheme="minorHAnsi" w:hAnsiTheme="majorHAnsi" w:cstheme="minorBidi"/>
          <w:spacing w:val="0"/>
          <w:sz w:val="22"/>
          <w:szCs w:val="22"/>
        </w:rPr>
        <w:t>There is no bar to your being paid for a product which is for use in R&amp;D.</w:t>
      </w:r>
    </w:p>
    <w:p w:rsidR="003B1F8E" w:rsidRDefault="003B1F8E" w:rsidP="00B662A3">
      <w:pPr>
        <w:spacing w:after="200" w:line="276" w:lineRule="auto"/>
        <w:ind w:left="0"/>
        <w:rPr>
          <w:rFonts w:asciiTheme="majorHAnsi" w:eastAsiaTheme="minorHAnsi" w:hAnsiTheme="majorHAnsi" w:cstheme="minorBidi"/>
          <w:b/>
          <w:i/>
          <w:spacing w:val="0"/>
          <w:sz w:val="22"/>
          <w:szCs w:val="22"/>
        </w:rPr>
      </w:pPr>
    </w:p>
    <w:p w:rsidR="00264CD3" w:rsidRDefault="00264CD3" w:rsidP="00264CD3">
      <w:pPr>
        <w:ind w:left="0"/>
        <w:rPr>
          <w:rFonts w:asciiTheme="majorHAnsi" w:eastAsiaTheme="minorHAnsi" w:hAnsiTheme="majorHAnsi"/>
        </w:rPr>
      </w:pPr>
      <w:r>
        <w:rPr>
          <w:rFonts w:asciiTheme="majorHAnsi" w:eastAsiaTheme="minorHAnsi" w:hAnsiTheme="majorHAnsi"/>
        </w:rPr>
        <w:br w:type="page"/>
      </w:r>
    </w:p>
    <w:p w:rsidR="00B662A3" w:rsidRPr="00264CD3" w:rsidRDefault="004A7D5B" w:rsidP="00264CD3">
      <w:pPr>
        <w:pBdr>
          <w:bottom w:val="single" w:sz="4" w:space="1" w:color="auto"/>
        </w:pBdr>
        <w:ind w:left="0"/>
        <w:rPr>
          <w:rFonts w:asciiTheme="majorHAnsi" w:eastAsiaTheme="minorHAnsi" w:hAnsiTheme="majorHAnsi"/>
          <w:b/>
          <w:sz w:val="32"/>
        </w:rPr>
      </w:pPr>
      <w:r>
        <w:rPr>
          <w:rFonts w:asciiTheme="majorHAnsi" w:eastAsiaTheme="minorHAnsi" w:hAnsiTheme="majorHAnsi"/>
          <w:b/>
          <w:noProof/>
          <w:sz w:val="32"/>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margin-left:353.95pt;margin-top:236.9pt;width:14.4pt;height:81.35pt;z-index:251677696" o:regroupid="2" fillcolor="#1f497d [3215]" stroked="f">
            <v:textbox style="layout-flow:vertical-ideographic"/>
          </v:shape>
        </w:pict>
      </w:r>
      <w:r>
        <w:rPr>
          <w:rFonts w:asciiTheme="majorHAnsi" w:eastAsiaTheme="minorHAnsi" w:hAnsiTheme="majorHAnsi"/>
          <w:b/>
          <w:noProof/>
          <w:sz w:val="32"/>
        </w:rPr>
        <w:pict>
          <v:roundrect id="_x0000_s1038" style="position:absolute;margin-left:288.3pt;margin-top:318.25pt;width:114.05pt;height:33.4pt;z-index:251671552" arcsize="10923f" o:regroupid="1" fillcolor="#1f497d [3215]" strokecolor="#1f497d [3215]" strokeweight="2.25pt">
            <v:fill opacity="13107f"/>
          </v:roundrect>
        </w:pict>
      </w:r>
      <w:r>
        <w:rPr>
          <w:rFonts w:asciiTheme="majorHAnsi" w:eastAsiaTheme="minorHAnsi" w:hAnsiTheme="majorHAnsi"/>
          <w:b/>
          <w:noProof/>
          <w:sz w:val="32"/>
        </w:rPr>
        <w:pict>
          <v:rect id="_x0000_s1036" style="position:absolute;margin-left:360.7pt;margin-top:235.7pt;width:20.95pt;height:7.15pt;z-index:251678720" o:regroupid="2" fillcolor="#1f497d [3215]" stroked="f"/>
        </w:pict>
      </w:r>
      <w:r>
        <w:rPr>
          <w:rFonts w:asciiTheme="majorHAnsi" w:eastAsiaTheme="minorHAnsi" w:hAnsiTheme="majorHAnsi"/>
          <w:b/>
          <w:noProof/>
          <w:sz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margin-left:251.9pt;margin-top:215.5pt;width:127.95pt;height:14.4pt;z-index:251676672" o:regroupid="2" fillcolor="#1f497d [3215]" stroked="f"/>
        </w:pict>
      </w:r>
      <w:r>
        <w:rPr>
          <w:rFonts w:asciiTheme="majorHAnsi" w:eastAsiaTheme="minorHAnsi" w:hAnsiTheme="majorHAnsi"/>
          <w:b/>
          <w:noProof/>
          <w:sz w:val="32"/>
        </w:rPr>
        <w:pict>
          <v:shape id="_x0000_s1031" type="#_x0000_t13" style="position:absolute;margin-left:256.05pt;margin-top:279.05pt;width:98.5pt;height:10.4pt;z-index:251675648" o:regroupid="2" fillcolor="#1f497d [3215]" stroked="f"/>
        </w:pict>
      </w:r>
      <w:r>
        <w:rPr>
          <w:rFonts w:asciiTheme="majorHAnsi" w:eastAsiaTheme="minorHAnsi" w:hAnsiTheme="majorHAnsi"/>
          <w:b/>
          <w:noProof/>
          <w:sz w:val="32"/>
        </w:rPr>
        <w:pict>
          <v:shape id="_x0000_s1029" type="#_x0000_t67" style="position:absolute;margin-left:139.55pt;margin-top:236.9pt;width:14.4pt;height:23.7pt;z-index:251674624" o:regroupid="2" fillcolor="#1f497d [3215]" stroked="f">
            <v:textbox style="layout-flow:vertical-ideographic"/>
          </v:shape>
        </w:pict>
      </w:r>
      <w:r>
        <w:rPr>
          <w:rFonts w:asciiTheme="majorHAnsi" w:eastAsiaTheme="minorHAnsi" w:hAnsiTheme="majorHAnsi"/>
          <w:b/>
          <w:noProof/>
          <w:sz w:val="32"/>
        </w:rPr>
        <w:pict>
          <v:shape id="_x0000_s1028" type="#_x0000_t67" style="position:absolute;margin-left:139.55pt;margin-top:190.35pt;width:14.4pt;height:20.15pt;z-index:251673600" o:regroupid="2" fillcolor="#1f497d [3215]" stroked="f">
            <v:textbox style="layout-flow:vertical-ideographic"/>
          </v:shape>
        </w:pict>
      </w:r>
      <w:r>
        <w:rPr>
          <w:rFonts w:asciiTheme="majorHAnsi" w:eastAsiaTheme="minorHAnsi" w:hAnsiTheme="majorHAnsi"/>
          <w:b/>
          <w:noProof/>
          <w:sz w:val="32"/>
        </w:rPr>
        <w:pict>
          <v:shape id="_x0000_s1027" type="#_x0000_t67" style="position:absolute;margin-left:141.95pt;margin-top:103.95pt;width:14.4pt;height:20.15pt;z-index:251672576" o:regroupid="2" fillcolor="#1f497d [3215]" stroked="f">
            <v:textbox style="layout-flow:vertical-ideographic"/>
          </v:shape>
        </w:pict>
      </w:r>
      <w:r>
        <w:rPr>
          <w:rFonts w:asciiTheme="majorHAnsi" w:eastAsiaTheme="minorHAnsi" w:hAnsiTheme="majorHAnsi"/>
          <w:b/>
          <w:noProof/>
          <w:sz w:val="32"/>
        </w:rPr>
        <w:pict>
          <v:shape id="_x0000_s1032" type="#_x0000_t67" style="position:absolute;margin-left:344.5pt;margin-top:284pt;width:14.4pt;height:34.25pt;z-index:251663360" fillcolor="#1f497d [3215]" stroked="f">
            <v:textbox style="layout-flow:vertical-ideographic"/>
          </v:shape>
        </w:pict>
      </w:r>
      <w:r w:rsidR="00264CD3" w:rsidRPr="00264CD3">
        <w:rPr>
          <w:rFonts w:asciiTheme="majorHAnsi" w:eastAsiaTheme="minorHAnsi" w:hAnsiTheme="majorHAnsi"/>
          <w:b/>
          <w:noProof/>
          <w:sz w:val="32"/>
        </w:rPr>
        <w:drawing>
          <wp:anchor distT="0" distB="0" distL="114300" distR="114300" simplePos="0" relativeHeight="251658240" behindDoc="0" locked="0" layoutInCell="1" allowOverlap="1">
            <wp:simplePos x="0" y="0"/>
            <wp:positionH relativeFrom="column">
              <wp:posOffset>7620</wp:posOffset>
            </wp:positionH>
            <wp:positionV relativeFrom="paragraph">
              <wp:posOffset>515620</wp:posOffset>
            </wp:positionV>
            <wp:extent cx="6637655" cy="7950835"/>
            <wp:effectExtent l="19050" t="0" r="0" b="0"/>
            <wp:wrapSquare wrapText="bothSides"/>
            <wp:docPr id="2" name="Picture 1" descr="flow chart for filing P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chart for filing PMNs"/>
                    <pic:cNvPicPr>
                      <a:picLocks noChangeAspect="1" noChangeArrowheads="1"/>
                    </pic:cNvPicPr>
                  </pic:nvPicPr>
                  <pic:blipFill>
                    <a:blip r:embed="rId7" cstate="print"/>
                    <a:srcRect/>
                    <a:stretch>
                      <a:fillRect/>
                    </a:stretch>
                  </pic:blipFill>
                  <pic:spPr bwMode="auto">
                    <a:xfrm>
                      <a:off x="0" y="0"/>
                      <a:ext cx="6637655" cy="7950835"/>
                    </a:xfrm>
                    <a:prstGeom prst="rect">
                      <a:avLst/>
                    </a:prstGeom>
                    <a:noFill/>
                    <a:ln w="9525">
                      <a:noFill/>
                      <a:miter lim="800000"/>
                      <a:headEnd/>
                      <a:tailEnd/>
                    </a:ln>
                  </pic:spPr>
                </pic:pic>
              </a:graphicData>
            </a:graphic>
          </wp:anchor>
        </w:drawing>
      </w:r>
      <w:r w:rsidR="00264CD3" w:rsidRPr="00264CD3">
        <w:rPr>
          <w:rFonts w:asciiTheme="majorHAnsi" w:eastAsiaTheme="minorHAnsi" w:hAnsiTheme="majorHAnsi"/>
          <w:b/>
          <w:sz w:val="32"/>
        </w:rPr>
        <w:t>TSCA PMN Applicability Flowchart</w:t>
      </w:r>
    </w:p>
    <w:sectPr w:rsidR="00B662A3" w:rsidRPr="00264CD3" w:rsidSect="00264CD3">
      <w:footerReference w:type="even" r:id="rId8"/>
      <w:headerReference w:type="first" r:id="rId9"/>
      <w:footerReference w:type="first" r:id="rId10"/>
      <w:pgSz w:w="12240" w:h="15840" w:code="1"/>
      <w:pgMar w:top="720" w:right="720" w:bottom="720" w:left="720" w:header="720" w:footer="965"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B62" w:rsidRDefault="00595B62">
      <w:r>
        <w:separator/>
      </w:r>
    </w:p>
  </w:endnote>
  <w:endnote w:type="continuationSeparator" w:id="0">
    <w:p w:rsidR="00595B62" w:rsidRDefault="00595B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75" w:rsidRDefault="004A7D5B">
    <w:pPr>
      <w:pStyle w:val="Footer"/>
      <w:framePr w:wrap="around" w:vAnchor="text" w:hAnchor="margin" w:xAlign="center" w:y="1"/>
      <w:rPr>
        <w:rStyle w:val="PageNumber"/>
      </w:rPr>
    </w:pPr>
    <w:r>
      <w:rPr>
        <w:rStyle w:val="PageNumber"/>
      </w:rPr>
      <w:fldChar w:fldCharType="begin"/>
    </w:r>
    <w:r w:rsidR="00F0326B">
      <w:rPr>
        <w:rStyle w:val="PageNumber"/>
      </w:rPr>
      <w:instrText xml:space="preserve">PAGE  </w:instrText>
    </w:r>
    <w:r>
      <w:rPr>
        <w:rStyle w:val="PageNumber"/>
      </w:rPr>
      <w:fldChar w:fldCharType="separate"/>
    </w:r>
    <w:r w:rsidR="00F0326B">
      <w:rPr>
        <w:rStyle w:val="PageNumber"/>
        <w:noProof/>
      </w:rPr>
      <w:t>1</w:t>
    </w:r>
    <w:r>
      <w:rPr>
        <w:rStyle w:val="PageNumber"/>
      </w:rPr>
      <w:fldChar w:fldCharType="end"/>
    </w:r>
  </w:p>
  <w:p w:rsidR="00EE2475" w:rsidRDefault="00EE2475">
    <w:pPr>
      <w:pStyle w:val="Footer"/>
    </w:pPr>
  </w:p>
  <w:p w:rsidR="00EE2475" w:rsidRDefault="00EE24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75" w:rsidRPr="009C5417" w:rsidRDefault="009C5417" w:rsidP="00B662A3">
    <w:pPr>
      <w:pStyle w:val="Footer"/>
      <w:pBdr>
        <w:top w:val="thinThickSmallGap" w:sz="24" w:space="1" w:color="622423" w:themeColor="accent2" w:themeShade="7F"/>
      </w:pBdr>
      <w:ind w:left="0"/>
      <w:rPr>
        <w:rFonts w:asciiTheme="majorHAnsi" w:hAnsiTheme="majorHAnsi"/>
      </w:rPr>
    </w:pPr>
    <w:r>
      <w:rPr>
        <w:rFonts w:asciiTheme="majorHAnsi" w:hAnsiTheme="majorHAnsi"/>
      </w:rPr>
      <w:t>Office of Risk Management</w:t>
    </w:r>
    <w:r>
      <w:rPr>
        <w:rFonts w:asciiTheme="majorHAnsi" w:hAnsiTheme="majorHAnsi"/>
      </w:rPr>
      <w:ptab w:relativeTo="margin" w:alignment="right" w:leader="none"/>
    </w:r>
    <w:r>
      <w:rPr>
        <w:rFonts w:asciiTheme="majorHAnsi" w:hAnsiTheme="majorHAnsi"/>
      </w:rPr>
      <w:t xml:space="preserve">Page </w:t>
    </w:r>
    <w:fldSimple w:instr=" PAGE   \* MERGEFORMAT ">
      <w:r w:rsidR="00126BE4" w:rsidRPr="00126BE4">
        <w:rPr>
          <w:rFonts w:asciiTheme="majorHAnsi" w:hAnsiTheme="majorHAnsi"/>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B62" w:rsidRDefault="00595B62">
      <w:r>
        <w:separator/>
      </w:r>
    </w:p>
  </w:footnote>
  <w:footnote w:type="continuationSeparator" w:id="0">
    <w:p w:rsidR="00595B62" w:rsidRDefault="00595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9D" w:rsidRPr="00CC0D9D" w:rsidRDefault="00333B60" w:rsidP="00CC0D9D">
    <w:pPr>
      <w:ind w:left="0"/>
      <w:rPr>
        <w:rFonts w:ascii="Times New Roman" w:hAnsi="Times New Roman"/>
        <w:sz w:val="30"/>
      </w:rPr>
    </w:pPr>
    <w:r>
      <w:rPr>
        <w:noProof/>
      </w:rPr>
      <w:drawing>
        <wp:anchor distT="0" distB="0" distL="114300" distR="114300" simplePos="0" relativeHeight="251660288" behindDoc="0" locked="0" layoutInCell="1" allowOverlap="1">
          <wp:simplePos x="0" y="0"/>
          <wp:positionH relativeFrom="column">
            <wp:posOffset>5352415</wp:posOffset>
          </wp:positionH>
          <wp:positionV relativeFrom="paragraph">
            <wp:posOffset>-9525</wp:posOffset>
          </wp:positionV>
          <wp:extent cx="997585" cy="447675"/>
          <wp:effectExtent l="19050" t="0" r="0" b="0"/>
          <wp:wrapNone/>
          <wp:docPr id="1" name="Picture 1" descr="S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U"/>
                  <pic:cNvPicPr>
                    <a:picLocks noChangeAspect="1" noChangeArrowheads="1"/>
                  </pic:cNvPicPr>
                </pic:nvPicPr>
                <pic:blipFill>
                  <a:blip r:embed="rId1"/>
                  <a:srcRect/>
                  <a:stretch>
                    <a:fillRect/>
                  </a:stretch>
                </pic:blipFill>
                <pic:spPr bwMode="auto">
                  <a:xfrm>
                    <a:off x="0" y="0"/>
                    <a:ext cx="997585" cy="447675"/>
                  </a:xfrm>
                  <a:prstGeom prst="rect">
                    <a:avLst/>
                  </a:prstGeom>
                  <a:noFill/>
                  <a:ln w="9525">
                    <a:noFill/>
                    <a:miter lim="800000"/>
                    <a:headEnd/>
                    <a:tailEnd/>
                  </a:ln>
                </pic:spPr>
              </pic:pic>
            </a:graphicData>
          </a:graphic>
        </wp:anchor>
      </w:drawing>
    </w:r>
    <w:r w:rsidR="00CC0D9D" w:rsidRPr="00CC0D9D">
      <w:rPr>
        <w:rFonts w:ascii="Times New Roman" w:hAnsi="Times New Roman"/>
        <w:sz w:val="30"/>
      </w:rPr>
      <w:t>SOUTHERN METHODIST UNIVERSITY</w:t>
    </w:r>
  </w:p>
  <w:p w:rsidR="00CC0D9D" w:rsidRPr="00CC0D9D" w:rsidRDefault="00CC0D9D" w:rsidP="001930C3">
    <w:pPr>
      <w:pBdr>
        <w:bottom w:val="thickThinSmallGap" w:sz="24" w:space="1" w:color="auto"/>
      </w:pBdr>
      <w:ind w:left="0"/>
      <w:rPr>
        <w:rFonts w:ascii="Times New Roman" w:hAnsi="Times New Roman"/>
        <w:sz w:val="34"/>
      </w:rPr>
    </w:pPr>
    <w:r>
      <w:rPr>
        <w:rFonts w:ascii="Times New Roman" w:hAnsi="Times New Roman"/>
        <w:sz w:val="34"/>
      </w:rPr>
      <w:t>REGULATION</w:t>
    </w:r>
    <w:r w:rsidRPr="00CC0D9D">
      <w:rPr>
        <w:rFonts w:ascii="Times New Roman" w:hAnsi="Times New Roman"/>
        <w:sz w:val="34"/>
      </w:rPr>
      <w:t xml:space="preserve"> APPLICABILITY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0A0C08"/>
    <w:multiLevelType w:val="hybridMultilevel"/>
    <w:tmpl w:val="9B603928"/>
    <w:lvl w:ilvl="0" w:tplc="0409000F">
      <w:start w:val="1"/>
      <w:numFmt w:val="decimal"/>
      <w:lvlText w:val="%1."/>
      <w:lvlJc w:val="left"/>
      <w:pPr>
        <w:ind w:left="1915" w:hanging="360"/>
      </w:pPr>
      <w:rPr>
        <w:rFonts w:hint="default"/>
        <w:i/>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1">
    <w:nsid w:val="1413585A"/>
    <w:multiLevelType w:val="hybridMultilevel"/>
    <w:tmpl w:val="5622C456"/>
    <w:lvl w:ilvl="0" w:tplc="1E786AF2">
      <w:start w:val="1"/>
      <w:numFmt w:val="decimal"/>
      <w:lvlText w:val="%1."/>
      <w:lvlJc w:val="left"/>
      <w:pPr>
        <w:ind w:left="1555" w:hanging="360"/>
      </w:pPr>
      <w:rPr>
        <w:rFonts w:hint="default"/>
        <w:i/>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2">
    <w:nsid w:val="161B44E1"/>
    <w:multiLevelType w:val="hybridMultilevel"/>
    <w:tmpl w:val="770A5AB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3">
    <w:nsid w:val="3A981919"/>
    <w:multiLevelType w:val="hybridMultilevel"/>
    <w:tmpl w:val="28CEF366"/>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4">
    <w:nsid w:val="40B10183"/>
    <w:multiLevelType w:val="hybridMultilevel"/>
    <w:tmpl w:val="92B84576"/>
    <w:lvl w:ilvl="0" w:tplc="1E786AF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F75066"/>
    <w:multiLevelType w:val="hybridMultilevel"/>
    <w:tmpl w:val="2FCC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7">
    <w:nsid w:val="70C21822"/>
    <w:multiLevelType w:val="hybridMultilevel"/>
    <w:tmpl w:val="275C6868"/>
    <w:lvl w:ilvl="0" w:tplc="1E786AF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8"/>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 w:numId="15">
    <w:abstractNumId w:val="15"/>
  </w:num>
  <w:num w:numId="16">
    <w:abstractNumId w:val="17"/>
  </w:num>
  <w:num w:numId="17">
    <w:abstractNumId w:val="14"/>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8" w:dllVersion="513" w:checkStyle="1"/>
  <w:attachedTemplate r:id="rId1"/>
  <w:defaultTabStop w:val="720"/>
  <w:drawingGridHorizontalSpacing w:val="195"/>
  <w:drawingGridVerticalSpacing w:val="187"/>
  <w:noPunctuationKerning/>
  <w:characterSpacingControl w:val="doNotCompress"/>
  <w:hdrShapeDefaults>
    <o:shapedefaults v:ext="edit" spidmax="15362">
      <o:colormenu v:ext="edit" fillcolor="none [3215]" strokecolor="none [3215]"/>
    </o:shapedefaults>
  </w:hdrShapeDefaults>
  <w:footnotePr>
    <w:footnote w:id="-1"/>
    <w:footnote w:id="0"/>
  </w:footnotePr>
  <w:endnotePr>
    <w:endnote w:id="-1"/>
    <w:endnote w:id="0"/>
  </w:endnotePr>
  <w:compat/>
  <w:rsids>
    <w:rsidRoot w:val="001930C3"/>
    <w:rsid w:val="000776DD"/>
    <w:rsid w:val="00126BE4"/>
    <w:rsid w:val="001930C3"/>
    <w:rsid w:val="00197BF1"/>
    <w:rsid w:val="00246F92"/>
    <w:rsid w:val="00264CD3"/>
    <w:rsid w:val="002C6088"/>
    <w:rsid w:val="002F05EB"/>
    <w:rsid w:val="00333B60"/>
    <w:rsid w:val="00354546"/>
    <w:rsid w:val="003B1F8E"/>
    <w:rsid w:val="003F6992"/>
    <w:rsid w:val="00415DBE"/>
    <w:rsid w:val="004A7D5B"/>
    <w:rsid w:val="00521694"/>
    <w:rsid w:val="00595B62"/>
    <w:rsid w:val="00596E57"/>
    <w:rsid w:val="005C6896"/>
    <w:rsid w:val="005D5AB9"/>
    <w:rsid w:val="0062774B"/>
    <w:rsid w:val="00821C6E"/>
    <w:rsid w:val="009928AA"/>
    <w:rsid w:val="009C5417"/>
    <w:rsid w:val="00A063A0"/>
    <w:rsid w:val="00A20EF2"/>
    <w:rsid w:val="00B662A3"/>
    <w:rsid w:val="00B706B6"/>
    <w:rsid w:val="00B97F58"/>
    <w:rsid w:val="00C22ADA"/>
    <w:rsid w:val="00CC0D9D"/>
    <w:rsid w:val="00DA7ADF"/>
    <w:rsid w:val="00EB5AA3"/>
    <w:rsid w:val="00EE2475"/>
    <w:rsid w:val="00F03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3215]" strokecolor="none [3215]"/>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75"/>
    <w:pPr>
      <w:ind w:left="835"/>
    </w:pPr>
    <w:rPr>
      <w:rFonts w:ascii="Arial" w:hAnsi="Arial"/>
      <w:spacing w:val="-5"/>
    </w:rPr>
  </w:style>
  <w:style w:type="paragraph" w:styleId="Heading1">
    <w:name w:val="heading 1"/>
    <w:basedOn w:val="Normal"/>
    <w:next w:val="BodyText"/>
    <w:qFormat/>
    <w:rsid w:val="00EE2475"/>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EE2475"/>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EE2475"/>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EE2475"/>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EE2475"/>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E2475"/>
    <w:pPr>
      <w:spacing w:after="220" w:line="180" w:lineRule="atLeast"/>
      <w:jc w:val="both"/>
    </w:pPr>
  </w:style>
  <w:style w:type="paragraph" w:styleId="Closing">
    <w:name w:val="Closing"/>
    <w:basedOn w:val="Normal"/>
    <w:semiHidden/>
    <w:rsid w:val="00EE2475"/>
    <w:pPr>
      <w:keepNext/>
      <w:spacing w:line="220" w:lineRule="atLeast"/>
    </w:pPr>
  </w:style>
  <w:style w:type="paragraph" w:customStyle="1" w:styleId="CompanyName">
    <w:name w:val="Company Name"/>
    <w:basedOn w:val="Normal"/>
    <w:rsid w:val="00EE2475"/>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EE2475"/>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EE2475"/>
    <w:pPr>
      <w:keepLines/>
      <w:spacing w:before="220"/>
      <w:jc w:val="left"/>
    </w:pPr>
  </w:style>
  <w:style w:type="paragraph" w:customStyle="1" w:styleId="HeaderBase">
    <w:name w:val="Header Base"/>
    <w:basedOn w:val="BodyText"/>
    <w:rsid w:val="00EE2475"/>
    <w:pPr>
      <w:keepLines/>
      <w:tabs>
        <w:tab w:val="center" w:pos="4320"/>
        <w:tab w:val="right" w:pos="8640"/>
      </w:tabs>
      <w:spacing w:after="0"/>
    </w:pPr>
  </w:style>
  <w:style w:type="paragraph" w:styleId="Footer">
    <w:name w:val="footer"/>
    <w:basedOn w:val="HeaderBase"/>
    <w:link w:val="FooterChar"/>
    <w:uiPriority w:val="99"/>
    <w:rsid w:val="00EE2475"/>
    <w:pPr>
      <w:spacing w:before="600"/>
    </w:pPr>
    <w:rPr>
      <w:sz w:val="18"/>
    </w:rPr>
  </w:style>
  <w:style w:type="paragraph" w:styleId="Header">
    <w:name w:val="header"/>
    <w:basedOn w:val="HeaderBase"/>
    <w:semiHidden/>
    <w:rsid w:val="00EE2475"/>
    <w:pPr>
      <w:spacing w:after="600"/>
    </w:pPr>
  </w:style>
  <w:style w:type="paragraph" w:customStyle="1" w:styleId="HeadingBase">
    <w:name w:val="Heading Base"/>
    <w:basedOn w:val="BodyText"/>
    <w:next w:val="BodyText"/>
    <w:rsid w:val="00EE2475"/>
    <w:pPr>
      <w:keepNext/>
      <w:keepLines/>
      <w:spacing w:after="0"/>
      <w:jc w:val="left"/>
    </w:pPr>
    <w:rPr>
      <w:rFonts w:ascii="Arial Black" w:hAnsi="Arial Black"/>
      <w:spacing w:val="-10"/>
      <w:kern w:val="28"/>
    </w:rPr>
  </w:style>
  <w:style w:type="paragraph" w:styleId="MessageHeader">
    <w:name w:val="Message Header"/>
    <w:basedOn w:val="BodyText"/>
    <w:semiHidden/>
    <w:rsid w:val="00EE2475"/>
    <w:pPr>
      <w:keepLines/>
      <w:spacing w:after="120"/>
      <w:ind w:left="1555" w:hanging="720"/>
      <w:jc w:val="left"/>
    </w:pPr>
  </w:style>
  <w:style w:type="paragraph" w:customStyle="1" w:styleId="MessageHeaderFirst">
    <w:name w:val="Message Header First"/>
    <w:basedOn w:val="MessageHeader"/>
    <w:next w:val="MessageHeader"/>
    <w:rsid w:val="00EE2475"/>
    <w:pPr>
      <w:spacing w:before="220"/>
    </w:pPr>
  </w:style>
  <w:style w:type="character" w:customStyle="1" w:styleId="MessageHeaderLabel">
    <w:name w:val="Message Header Label"/>
    <w:rsid w:val="00EE2475"/>
    <w:rPr>
      <w:rFonts w:ascii="Arial Black" w:hAnsi="Arial Black"/>
      <w:spacing w:val="-10"/>
      <w:sz w:val="18"/>
    </w:rPr>
  </w:style>
  <w:style w:type="paragraph" w:customStyle="1" w:styleId="MessageHeaderLast">
    <w:name w:val="Message Header Last"/>
    <w:basedOn w:val="MessageHeader"/>
    <w:next w:val="BodyText"/>
    <w:rsid w:val="00EE2475"/>
    <w:pPr>
      <w:pBdr>
        <w:bottom w:val="single" w:sz="6" w:space="15" w:color="auto"/>
      </w:pBdr>
      <w:spacing w:after="320"/>
    </w:pPr>
  </w:style>
  <w:style w:type="paragraph" w:styleId="NormalIndent">
    <w:name w:val="Normal Indent"/>
    <w:basedOn w:val="Normal"/>
    <w:semiHidden/>
    <w:rsid w:val="00EE2475"/>
    <w:pPr>
      <w:ind w:left="1555"/>
    </w:pPr>
  </w:style>
  <w:style w:type="character" w:styleId="PageNumber">
    <w:name w:val="page number"/>
    <w:semiHidden/>
    <w:rsid w:val="00EE2475"/>
    <w:rPr>
      <w:sz w:val="18"/>
    </w:rPr>
  </w:style>
  <w:style w:type="paragraph" w:customStyle="1" w:styleId="ReturnAddress">
    <w:name w:val="Return Address"/>
    <w:basedOn w:val="Normal"/>
    <w:rsid w:val="00EE2475"/>
    <w:pPr>
      <w:keepLines/>
      <w:spacing w:line="200" w:lineRule="atLeast"/>
      <w:ind w:left="0"/>
    </w:pPr>
    <w:rPr>
      <w:spacing w:val="-2"/>
      <w:sz w:val="16"/>
    </w:rPr>
  </w:style>
  <w:style w:type="paragraph" w:styleId="Signature">
    <w:name w:val="Signature"/>
    <w:basedOn w:val="BodyText"/>
    <w:semiHidden/>
    <w:rsid w:val="00EE2475"/>
    <w:pPr>
      <w:keepNext/>
      <w:keepLines/>
      <w:spacing w:before="660" w:after="0"/>
    </w:pPr>
  </w:style>
  <w:style w:type="paragraph" w:customStyle="1" w:styleId="SignatureJobTitle">
    <w:name w:val="Signature Job Title"/>
    <w:basedOn w:val="Signature"/>
    <w:next w:val="Normal"/>
    <w:rsid w:val="00EE2475"/>
    <w:pPr>
      <w:spacing w:before="0"/>
      <w:jc w:val="left"/>
    </w:pPr>
  </w:style>
  <w:style w:type="paragraph" w:customStyle="1" w:styleId="SignatureName">
    <w:name w:val="Signature Name"/>
    <w:basedOn w:val="Signature"/>
    <w:next w:val="SignatureJobTitle"/>
    <w:rsid w:val="00EE2475"/>
    <w:pPr>
      <w:spacing w:before="720"/>
      <w:jc w:val="left"/>
    </w:pPr>
  </w:style>
  <w:style w:type="paragraph" w:styleId="BalloonText">
    <w:name w:val="Balloon Text"/>
    <w:basedOn w:val="Normal"/>
    <w:link w:val="BalloonTextChar"/>
    <w:uiPriority w:val="99"/>
    <w:semiHidden/>
    <w:unhideWhenUsed/>
    <w:rsid w:val="00CC0D9D"/>
    <w:rPr>
      <w:rFonts w:ascii="Tahoma" w:hAnsi="Tahoma" w:cs="Tahoma"/>
      <w:sz w:val="16"/>
      <w:szCs w:val="16"/>
    </w:rPr>
  </w:style>
  <w:style w:type="paragraph" w:styleId="List">
    <w:name w:val="List"/>
    <w:basedOn w:val="Normal"/>
    <w:semiHidden/>
    <w:rsid w:val="00EE2475"/>
    <w:pPr>
      <w:ind w:left="1195" w:hanging="360"/>
    </w:pPr>
  </w:style>
  <w:style w:type="paragraph" w:styleId="List2">
    <w:name w:val="List 2"/>
    <w:basedOn w:val="Normal"/>
    <w:semiHidden/>
    <w:rsid w:val="00EE2475"/>
    <w:pPr>
      <w:ind w:left="1555" w:hanging="360"/>
    </w:pPr>
  </w:style>
  <w:style w:type="paragraph" w:styleId="List3">
    <w:name w:val="List 3"/>
    <w:basedOn w:val="Normal"/>
    <w:semiHidden/>
    <w:rsid w:val="00EE2475"/>
    <w:pPr>
      <w:ind w:left="1915" w:hanging="360"/>
    </w:pPr>
  </w:style>
  <w:style w:type="paragraph" w:styleId="List4">
    <w:name w:val="List 4"/>
    <w:basedOn w:val="Normal"/>
    <w:semiHidden/>
    <w:rsid w:val="00EE2475"/>
    <w:pPr>
      <w:ind w:left="2275" w:hanging="360"/>
    </w:pPr>
  </w:style>
  <w:style w:type="paragraph" w:styleId="List5">
    <w:name w:val="List 5"/>
    <w:basedOn w:val="Normal"/>
    <w:semiHidden/>
    <w:rsid w:val="00EE2475"/>
    <w:pPr>
      <w:ind w:left="2635" w:hanging="360"/>
    </w:pPr>
  </w:style>
  <w:style w:type="paragraph" w:styleId="ListBullet">
    <w:name w:val="List Bullet"/>
    <w:basedOn w:val="Normal"/>
    <w:autoRedefine/>
    <w:semiHidden/>
    <w:rsid w:val="00EE2475"/>
    <w:pPr>
      <w:numPr>
        <w:numId w:val="3"/>
      </w:numPr>
      <w:ind w:left="1195"/>
    </w:pPr>
  </w:style>
  <w:style w:type="paragraph" w:styleId="ListBullet2">
    <w:name w:val="List Bullet 2"/>
    <w:basedOn w:val="Normal"/>
    <w:autoRedefine/>
    <w:semiHidden/>
    <w:rsid w:val="00EE2475"/>
    <w:pPr>
      <w:numPr>
        <w:numId w:val="4"/>
      </w:numPr>
      <w:ind w:left="1555"/>
    </w:pPr>
  </w:style>
  <w:style w:type="paragraph" w:styleId="ListBullet3">
    <w:name w:val="List Bullet 3"/>
    <w:basedOn w:val="Normal"/>
    <w:autoRedefine/>
    <w:semiHidden/>
    <w:rsid w:val="00EE2475"/>
    <w:pPr>
      <w:numPr>
        <w:numId w:val="5"/>
      </w:numPr>
      <w:ind w:left="1915"/>
    </w:pPr>
  </w:style>
  <w:style w:type="paragraph" w:styleId="ListBullet4">
    <w:name w:val="List Bullet 4"/>
    <w:basedOn w:val="Normal"/>
    <w:autoRedefine/>
    <w:semiHidden/>
    <w:rsid w:val="00EE2475"/>
    <w:pPr>
      <w:numPr>
        <w:numId w:val="6"/>
      </w:numPr>
      <w:ind w:left="2275"/>
    </w:pPr>
  </w:style>
  <w:style w:type="paragraph" w:styleId="ListBullet5">
    <w:name w:val="List Bullet 5"/>
    <w:basedOn w:val="Normal"/>
    <w:autoRedefine/>
    <w:semiHidden/>
    <w:rsid w:val="00EE2475"/>
    <w:pPr>
      <w:numPr>
        <w:numId w:val="7"/>
      </w:numPr>
      <w:ind w:left="2635"/>
    </w:pPr>
  </w:style>
  <w:style w:type="paragraph" w:styleId="ListContinue">
    <w:name w:val="List Continue"/>
    <w:basedOn w:val="Normal"/>
    <w:semiHidden/>
    <w:rsid w:val="00EE2475"/>
    <w:pPr>
      <w:spacing w:after="120"/>
      <w:ind w:left="1195"/>
    </w:pPr>
  </w:style>
  <w:style w:type="paragraph" w:styleId="ListContinue2">
    <w:name w:val="List Continue 2"/>
    <w:basedOn w:val="Normal"/>
    <w:semiHidden/>
    <w:rsid w:val="00EE2475"/>
    <w:pPr>
      <w:spacing w:after="120"/>
      <w:ind w:left="1555"/>
    </w:pPr>
  </w:style>
  <w:style w:type="paragraph" w:styleId="ListContinue3">
    <w:name w:val="List Continue 3"/>
    <w:basedOn w:val="Normal"/>
    <w:semiHidden/>
    <w:rsid w:val="00EE2475"/>
    <w:pPr>
      <w:spacing w:after="120"/>
      <w:ind w:left="1915"/>
    </w:pPr>
  </w:style>
  <w:style w:type="paragraph" w:styleId="ListContinue4">
    <w:name w:val="List Continue 4"/>
    <w:basedOn w:val="Normal"/>
    <w:semiHidden/>
    <w:rsid w:val="00EE2475"/>
    <w:pPr>
      <w:spacing w:after="120"/>
      <w:ind w:left="2275"/>
    </w:pPr>
  </w:style>
  <w:style w:type="paragraph" w:styleId="ListContinue5">
    <w:name w:val="List Continue 5"/>
    <w:basedOn w:val="Normal"/>
    <w:semiHidden/>
    <w:rsid w:val="00EE2475"/>
    <w:pPr>
      <w:spacing w:after="120"/>
      <w:ind w:left="2635"/>
    </w:pPr>
  </w:style>
  <w:style w:type="paragraph" w:styleId="ListNumber">
    <w:name w:val="List Number"/>
    <w:basedOn w:val="Normal"/>
    <w:semiHidden/>
    <w:rsid w:val="00EE2475"/>
    <w:pPr>
      <w:numPr>
        <w:numId w:val="8"/>
      </w:numPr>
      <w:ind w:left="1195"/>
    </w:pPr>
  </w:style>
  <w:style w:type="paragraph" w:styleId="ListNumber2">
    <w:name w:val="List Number 2"/>
    <w:basedOn w:val="Normal"/>
    <w:semiHidden/>
    <w:rsid w:val="00EE2475"/>
    <w:pPr>
      <w:numPr>
        <w:numId w:val="9"/>
      </w:numPr>
      <w:ind w:left="1555"/>
    </w:pPr>
  </w:style>
  <w:style w:type="paragraph" w:styleId="ListNumber3">
    <w:name w:val="List Number 3"/>
    <w:basedOn w:val="Normal"/>
    <w:semiHidden/>
    <w:rsid w:val="00EE2475"/>
    <w:pPr>
      <w:numPr>
        <w:numId w:val="10"/>
      </w:numPr>
      <w:ind w:left="1915"/>
    </w:pPr>
  </w:style>
  <w:style w:type="paragraph" w:styleId="ListNumber4">
    <w:name w:val="List Number 4"/>
    <w:basedOn w:val="Normal"/>
    <w:semiHidden/>
    <w:rsid w:val="00EE2475"/>
    <w:pPr>
      <w:numPr>
        <w:numId w:val="11"/>
      </w:numPr>
      <w:ind w:left="2275"/>
    </w:pPr>
  </w:style>
  <w:style w:type="paragraph" w:styleId="ListNumber5">
    <w:name w:val="List Number 5"/>
    <w:basedOn w:val="Normal"/>
    <w:semiHidden/>
    <w:rsid w:val="00EE2475"/>
    <w:pPr>
      <w:numPr>
        <w:numId w:val="12"/>
      </w:numPr>
      <w:ind w:left="2635"/>
    </w:pPr>
  </w:style>
  <w:style w:type="character" w:customStyle="1" w:styleId="BalloonTextChar">
    <w:name w:val="Balloon Text Char"/>
    <w:basedOn w:val="DefaultParagraphFont"/>
    <w:link w:val="BalloonText"/>
    <w:uiPriority w:val="99"/>
    <w:semiHidden/>
    <w:rsid w:val="00CC0D9D"/>
    <w:rPr>
      <w:rFonts w:ascii="Tahoma" w:hAnsi="Tahoma" w:cs="Tahoma"/>
      <w:spacing w:val="-5"/>
      <w:sz w:val="16"/>
      <w:szCs w:val="16"/>
    </w:rPr>
  </w:style>
  <w:style w:type="paragraph" w:styleId="NoSpacing">
    <w:name w:val="No Spacing"/>
    <w:uiPriority w:val="1"/>
    <w:qFormat/>
    <w:rsid w:val="002C6088"/>
    <w:pPr>
      <w:ind w:left="835"/>
    </w:pPr>
    <w:rPr>
      <w:rFonts w:ascii="Arial" w:hAnsi="Arial"/>
      <w:spacing w:val="-5"/>
    </w:rPr>
  </w:style>
  <w:style w:type="character" w:styleId="Emphasis">
    <w:name w:val="Emphasis"/>
    <w:basedOn w:val="DefaultParagraphFont"/>
    <w:uiPriority w:val="20"/>
    <w:qFormat/>
    <w:rsid w:val="002C6088"/>
    <w:rPr>
      <w:i/>
      <w:iCs/>
    </w:rPr>
  </w:style>
  <w:style w:type="character" w:customStyle="1" w:styleId="FooterChar">
    <w:name w:val="Footer Char"/>
    <w:basedOn w:val="DefaultParagraphFont"/>
    <w:link w:val="Footer"/>
    <w:uiPriority w:val="99"/>
    <w:rsid w:val="009C5417"/>
    <w:rPr>
      <w:rFonts w:ascii="Arial" w:hAnsi="Arial"/>
      <w:spacing w:val="-5"/>
      <w:sz w:val="18"/>
    </w:rPr>
  </w:style>
  <w:style w:type="paragraph" w:styleId="ListParagraph">
    <w:name w:val="List Paragraph"/>
    <w:basedOn w:val="Normal"/>
    <w:uiPriority w:val="34"/>
    <w:qFormat/>
    <w:rsid w:val="003B1F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546454\AppData\Roaming\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507</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18546454</dc:creator>
  <cp:lastModifiedBy>18546454</cp:lastModifiedBy>
  <cp:revision>19</cp:revision>
  <cp:lastPrinted>2010-06-17T16:16:00Z</cp:lastPrinted>
  <dcterms:created xsi:type="dcterms:W3CDTF">2010-06-16T14:29:00Z</dcterms:created>
  <dcterms:modified xsi:type="dcterms:W3CDTF">2010-09-22T20:15:00Z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