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3FFE" w14:textId="7872385E" w:rsidR="005E79F3" w:rsidRPr="00C41B2F" w:rsidRDefault="00DA1B55" w:rsidP="00382417">
      <w:pPr>
        <w:pBdr>
          <w:bottom w:val="single" w:sz="4" w:space="1" w:color="auto"/>
        </w:pBdr>
        <w:rPr>
          <w:b/>
          <w:bCs/>
        </w:rPr>
      </w:pPr>
      <w:r w:rsidRPr="00C41B2F">
        <w:rPr>
          <w:b/>
          <w:bCs/>
        </w:rPr>
        <w:t>Annual Assessment Reporting occurs August 1</w:t>
      </w:r>
      <w:r w:rsidRPr="00C41B2F">
        <w:rPr>
          <w:b/>
          <w:bCs/>
          <w:vertAlign w:val="superscript"/>
        </w:rPr>
        <w:t>st</w:t>
      </w:r>
      <w:r w:rsidRPr="00C41B2F">
        <w:rPr>
          <w:b/>
          <w:bCs/>
        </w:rPr>
        <w:t xml:space="preserve"> through July 31</w:t>
      </w:r>
      <w:r w:rsidRPr="00C41B2F">
        <w:rPr>
          <w:b/>
          <w:bCs/>
          <w:vertAlign w:val="superscript"/>
        </w:rPr>
        <w:t>st</w:t>
      </w:r>
      <w:r w:rsidRPr="00C41B2F">
        <w:rPr>
          <w:b/>
          <w:bCs/>
        </w:rPr>
        <w:t xml:space="preserve"> each academic year in four distinct phases: </w:t>
      </w:r>
      <w:r w:rsidR="00D71668" w:rsidRPr="00C41B2F">
        <w:rPr>
          <w:b/>
          <w:bCs/>
        </w:rPr>
        <w:br/>
      </w:r>
      <w:r w:rsidRPr="00C41B2F">
        <w:rPr>
          <w:b/>
          <w:bCs/>
        </w:rPr>
        <w:t>Plan, Do, Check, and Act.</w:t>
      </w:r>
      <w:r w:rsidR="005E79F3" w:rsidRPr="00C41B2F">
        <w:rPr>
          <w:b/>
          <w:bCs/>
        </w:rPr>
        <w:t xml:space="preserve"> </w:t>
      </w:r>
    </w:p>
    <w:p w14:paraId="1960C1A6" w14:textId="77777777" w:rsidR="00C41B2F" w:rsidRDefault="00C41B2F" w:rsidP="00C41B2F"/>
    <w:p w14:paraId="288209CE" w14:textId="08C625C8" w:rsidR="00C41B2F" w:rsidRPr="00C41B2F" w:rsidRDefault="00C41B2F" w:rsidP="000A5711">
      <w:pPr>
        <w:jc w:val="both"/>
      </w:pPr>
      <w:r w:rsidRPr="00C41B2F">
        <w:t>Assessment personnel are encouraged to work on reports throughout the academic year and after the assessment cycle is complete if some data is only available after the July 31</w:t>
      </w:r>
      <w:r w:rsidRPr="00C41B2F">
        <w:rPr>
          <w:vertAlign w:val="superscript"/>
        </w:rPr>
        <w:t>st</w:t>
      </w:r>
      <w:r w:rsidRPr="00C41B2F">
        <w:t xml:space="preserve"> deadline. Editing continues to be available for all </w:t>
      </w:r>
      <w:r w:rsidR="005F1912">
        <w:t xml:space="preserve">current and previous </w:t>
      </w:r>
      <w:r w:rsidRPr="00C41B2F">
        <w:t>academic years on an ongoing basis—you will never be locked out of a report.</w:t>
      </w:r>
    </w:p>
    <w:p w14:paraId="1FBEF6C9" w14:textId="77777777" w:rsidR="00C41B2F" w:rsidRPr="00C41B2F" w:rsidRDefault="00C41B2F" w:rsidP="00C41B2F"/>
    <w:p w14:paraId="7C0E336A" w14:textId="77777777" w:rsidR="00C41B2F" w:rsidRPr="00C41B2F" w:rsidRDefault="00C41B2F" w:rsidP="00C41B2F">
      <w:r w:rsidRPr="00382417">
        <w:rPr>
          <w:u w:val="single"/>
        </w:rPr>
        <w:t>Important Notes</w:t>
      </w:r>
      <w:r w:rsidRPr="00C41B2F">
        <w:t>:</w:t>
      </w:r>
    </w:p>
    <w:p w14:paraId="47D764C4" w14:textId="77777777" w:rsidR="00C41B2F" w:rsidRPr="00C41B2F" w:rsidRDefault="00C41B2F" w:rsidP="00C41B2F"/>
    <w:p w14:paraId="2D418567" w14:textId="77777777" w:rsidR="00C41B2F" w:rsidRPr="00C41B2F" w:rsidRDefault="00C41B2F" w:rsidP="00C41B2F">
      <w:pPr>
        <w:pStyle w:val="ListParagraph"/>
        <w:numPr>
          <w:ilvl w:val="0"/>
          <w:numId w:val="10"/>
        </w:numPr>
      </w:pPr>
      <w:r w:rsidRPr="004447AF">
        <w:rPr>
          <w:b/>
          <w:bCs/>
        </w:rPr>
        <w:t>All academic programs</w:t>
      </w:r>
      <w:r w:rsidRPr="00C41B2F">
        <w:t xml:space="preserve"> must have a distinct mission statement, including programs that are essentially the same but award either a BA/BS, MA/MS, or earn an MA </w:t>
      </w:r>
      <w:proofErr w:type="spellStart"/>
      <w:r w:rsidRPr="00C41B2F">
        <w:rPr>
          <w:i/>
          <w:iCs/>
        </w:rPr>
        <w:t>en</w:t>
      </w:r>
      <w:proofErr w:type="spellEnd"/>
      <w:r w:rsidRPr="00C41B2F">
        <w:rPr>
          <w:i/>
          <w:iCs/>
        </w:rPr>
        <w:t xml:space="preserve"> route</w:t>
      </w:r>
      <w:r w:rsidRPr="00C41B2F">
        <w:t xml:space="preserve"> to PhD.</w:t>
      </w:r>
      <w:r w:rsidRPr="00C41B2F">
        <w:br/>
      </w:r>
    </w:p>
    <w:p w14:paraId="0724D3D7" w14:textId="42E92E85" w:rsidR="009F4C83" w:rsidRDefault="00C41B2F" w:rsidP="00C41B2F">
      <w:pPr>
        <w:pStyle w:val="ListParagraph"/>
        <w:numPr>
          <w:ilvl w:val="0"/>
          <w:numId w:val="10"/>
        </w:numPr>
      </w:pPr>
      <w:r w:rsidRPr="004447AF">
        <w:rPr>
          <w:b/>
          <w:bCs/>
        </w:rPr>
        <w:t>All degree programs</w:t>
      </w:r>
      <w:r w:rsidRPr="00C41B2F">
        <w:t xml:space="preserve"> are required to establish at least four (4) Student Learning Outcomes (SLOs)</w:t>
      </w:r>
      <w:r w:rsidR="00553C51">
        <w:t xml:space="preserve"> </w:t>
      </w:r>
      <w:r w:rsidR="00553C51">
        <w:rPr>
          <w:i/>
          <w:iCs/>
        </w:rPr>
        <w:t>formerly known as Program Student Learning Outcomes (PLOs)</w:t>
      </w:r>
      <w:r w:rsidRPr="00C41B2F">
        <w:t xml:space="preserve">. </w:t>
      </w:r>
      <w:r w:rsidRPr="004447AF">
        <w:rPr>
          <w:b/>
          <w:bCs/>
        </w:rPr>
        <w:t>Certificate/Diploma</w:t>
      </w:r>
      <w:r w:rsidR="004D17A8">
        <w:t xml:space="preserve"> programs</w:t>
      </w:r>
      <w:r w:rsidRPr="00C41B2F">
        <w:t xml:space="preserve"> are required to establish at least two (2) SLOs.</w:t>
      </w:r>
      <w:r w:rsidR="000438DD">
        <w:br/>
      </w:r>
    </w:p>
    <w:p w14:paraId="0D4E119B" w14:textId="6F816631" w:rsidR="009F4C83" w:rsidRDefault="009F4C83" w:rsidP="009F4C83">
      <w:pPr>
        <w:pStyle w:val="ListParagraph"/>
        <w:numPr>
          <w:ilvl w:val="1"/>
          <w:numId w:val="10"/>
        </w:numPr>
      </w:pPr>
      <w:r>
        <w:t>Each degree program should assess at least two (2) SLOs per year and assess all outcomes at least twice in five years.</w:t>
      </w:r>
      <w:r w:rsidR="000438DD">
        <w:br/>
      </w:r>
    </w:p>
    <w:p w14:paraId="79B32DED" w14:textId="523A585E" w:rsidR="00CF5101" w:rsidRDefault="009F4C83" w:rsidP="009F4C83">
      <w:pPr>
        <w:pStyle w:val="ListParagraph"/>
        <w:numPr>
          <w:ilvl w:val="1"/>
          <w:numId w:val="10"/>
        </w:numPr>
      </w:pPr>
      <w:r>
        <w:t>For undergraduate programs, one of the four (4) SLOs must address Writing in the Major (WIM).</w:t>
      </w:r>
      <w:r w:rsidR="000438DD">
        <w:br/>
      </w:r>
    </w:p>
    <w:p w14:paraId="45A77DDC" w14:textId="60D19C4D" w:rsidR="00C41B2F" w:rsidRPr="00C41B2F" w:rsidRDefault="00CF5101" w:rsidP="009F4C83">
      <w:pPr>
        <w:pStyle w:val="ListParagraph"/>
        <w:numPr>
          <w:ilvl w:val="1"/>
          <w:numId w:val="10"/>
        </w:numPr>
      </w:pPr>
      <w:r>
        <w:t>Each certificate/diploma program should assess at least one (1) SLO per year and assess all SLOs at least twice in five years.</w:t>
      </w:r>
      <w:r w:rsidR="00C41B2F" w:rsidRPr="00C41B2F">
        <w:br/>
      </w:r>
    </w:p>
    <w:p w14:paraId="459438AA" w14:textId="77777777" w:rsidR="00C41B2F" w:rsidRDefault="00C41B2F" w:rsidP="00C41B2F">
      <w:pPr>
        <w:pStyle w:val="ListParagraph"/>
        <w:numPr>
          <w:ilvl w:val="0"/>
          <w:numId w:val="10"/>
        </w:numPr>
      </w:pPr>
      <w:r w:rsidRPr="004447AF">
        <w:rPr>
          <w:b/>
          <w:bCs/>
        </w:rPr>
        <w:t>All programs</w:t>
      </w:r>
      <w:r w:rsidRPr="00C41B2F">
        <w:t xml:space="preserve"> are required to establish at least one (1) Program Goal (PG) </w:t>
      </w:r>
      <w:r w:rsidRPr="00C41B2F">
        <w:rPr>
          <w:i/>
          <w:iCs/>
        </w:rPr>
        <w:t>formerly known as Program Operational Objective (PO)</w:t>
      </w:r>
      <w:r w:rsidRPr="00C41B2F">
        <w:t>.</w:t>
      </w:r>
    </w:p>
    <w:p w14:paraId="4D20CD6B" w14:textId="77777777" w:rsidR="005F1912" w:rsidRDefault="005F1912" w:rsidP="005F1912">
      <w:pPr>
        <w:pStyle w:val="ListParagraph"/>
        <w:ind w:left="1080"/>
      </w:pPr>
    </w:p>
    <w:p w14:paraId="1BB5D0A9" w14:textId="279089F9" w:rsidR="005F1912" w:rsidRPr="00C41B2F" w:rsidRDefault="005F1912" w:rsidP="00C41B2F">
      <w:pPr>
        <w:pStyle w:val="ListParagraph"/>
        <w:numPr>
          <w:ilvl w:val="0"/>
          <w:numId w:val="10"/>
        </w:numPr>
      </w:pPr>
      <w:r w:rsidRPr="004447AF">
        <w:rPr>
          <w:b/>
          <w:bCs/>
        </w:rPr>
        <w:t>Any new or existing program</w:t>
      </w:r>
      <w:r>
        <w:t xml:space="preserve"> that has zero students </w:t>
      </w:r>
      <w:proofErr w:type="gramStart"/>
      <w:r>
        <w:t>enrolled</w:t>
      </w:r>
      <w:proofErr w:type="gramEnd"/>
      <w:r>
        <w:t xml:space="preserve"> or is scheduled for discontinuation in an upcoming academic year is still required to submit an annual assessment report.</w:t>
      </w:r>
      <w:r w:rsidR="004D5C25">
        <w:t xml:space="preserve"> See the </w:t>
      </w:r>
      <w:hyperlink r:id="rId7" w:history="1">
        <w:r w:rsidR="004D5C25" w:rsidRPr="004D5C25">
          <w:rPr>
            <w:rStyle w:val="Hyperlink"/>
          </w:rPr>
          <w:t>Zero Enrollment/ / Discontinuing Programs</w:t>
        </w:r>
      </w:hyperlink>
      <w:r w:rsidR="004D5C25">
        <w:t xml:space="preserve"> sample.</w:t>
      </w:r>
    </w:p>
    <w:p w14:paraId="34FC66A1" w14:textId="77777777" w:rsidR="00C41B2F" w:rsidRDefault="00C41B2F" w:rsidP="00243272"/>
    <w:p w14:paraId="020B44EE" w14:textId="77777777" w:rsidR="005F1912" w:rsidRPr="00C41B2F" w:rsidRDefault="005F1912" w:rsidP="00243272"/>
    <w:p w14:paraId="68D5A96B" w14:textId="66D291EB" w:rsidR="00EE2EA1" w:rsidRPr="00C41B2F" w:rsidRDefault="00EE2EA1" w:rsidP="00382417">
      <w:pPr>
        <w:pBdr>
          <w:bottom w:val="single" w:sz="4" w:space="1" w:color="auto"/>
        </w:pBdr>
      </w:pPr>
      <w:r w:rsidRPr="00C41B2F">
        <w:rPr>
          <w:b/>
          <w:bCs/>
        </w:rPr>
        <w:t xml:space="preserve">Feedback, Review, Debriefing, and Revision </w:t>
      </w:r>
      <w:r w:rsidR="0040551D" w:rsidRPr="00C41B2F">
        <w:rPr>
          <w:b/>
          <w:bCs/>
        </w:rPr>
        <w:t>of</w:t>
      </w:r>
      <w:r w:rsidRPr="00C41B2F">
        <w:rPr>
          <w:b/>
          <w:bCs/>
        </w:rPr>
        <w:t xml:space="preserve"> </w:t>
      </w:r>
      <w:r w:rsidR="0040551D" w:rsidRPr="00C41B2F">
        <w:rPr>
          <w:b/>
          <w:bCs/>
        </w:rPr>
        <w:t>A</w:t>
      </w:r>
      <w:r w:rsidRPr="00C41B2F">
        <w:rPr>
          <w:b/>
          <w:bCs/>
        </w:rPr>
        <w:t xml:space="preserve">nnual </w:t>
      </w:r>
      <w:r w:rsidR="0040551D" w:rsidRPr="00C41B2F">
        <w:rPr>
          <w:b/>
          <w:bCs/>
        </w:rPr>
        <w:t>A</w:t>
      </w:r>
      <w:r w:rsidRPr="00C41B2F">
        <w:rPr>
          <w:b/>
          <w:bCs/>
        </w:rPr>
        <w:t xml:space="preserve">ssessment </w:t>
      </w:r>
      <w:r w:rsidR="0040551D" w:rsidRPr="00C41B2F">
        <w:rPr>
          <w:b/>
          <w:bCs/>
        </w:rPr>
        <w:t>R</w:t>
      </w:r>
      <w:r w:rsidRPr="00C41B2F">
        <w:rPr>
          <w:b/>
          <w:bCs/>
        </w:rPr>
        <w:t>eport occurs from August 1</w:t>
      </w:r>
      <w:r w:rsidRPr="00C41B2F">
        <w:rPr>
          <w:b/>
          <w:bCs/>
          <w:vertAlign w:val="superscript"/>
        </w:rPr>
        <w:t>st</w:t>
      </w:r>
      <w:r w:rsidRPr="00C41B2F">
        <w:rPr>
          <w:b/>
          <w:bCs/>
        </w:rPr>
        <w:t xml:space="preserve"> through May 31</w:t>
      </w:r>
      <w:r w:rsidRPr="00C41B2F">
        <w:rPr>
          <w:b/>
          <w:bCs/>
          <w:vertAlign w:val="superscript"/>
        </w:rPr>
        <w:t>st</w:t>
      </w:r>
      <w:r w:rsidRPr="00C41B2F">
        <w:rPr>
          <w:b/>
          <w:bCs/>
        </w:rPr>
        <w:t xml:space="preserve"> of the following academic year</w:t>
      </w:r>
      <w:r w:rsidR="0040551D" w:rsidRPr="00C41B2F">
        <w:rPr>
          <w:b/>
          <w:bCs/>
        </w:rPr>
        <w:t xml:space="preserve"> to reinforce continuous improvement efforts.</w:t>
      </w:r>
    </w:p>
    <w:p w14:paraId="1E3E2FB6" w14:textId="77777777" w:rsidR="00EE2EA1" w:rsidRDefault="00EE2EA1"/>
    <w:p w14:paraId="048DA156" w14:textId="3F578E26" w:rsidR="00217C45" w:rsidRDefault="00217C45" w:rsidP="009F4C83">
      <w:pPr>
        <w:jc w:val="both"/>
      </w:pPr>
      <w:r>
        <w:t>Institutional Planning and Effectiveness</w:t>
      </w:r>
      <w:r w:rsidR="000438DD">
        <w:t xml:space="preserve"> (IPE)</w:t>
      </w:r>
      <w:r>
        <w:t xml:space="preserve"> is responsible for </w:t>
      </w:r>
      <w:r w:rsidR="00925787">
        <w:t>collecting</w:t>
      </w:r>
      <w:r>
        <w:t xml:space="preserve"> annual assessment reports </w:t>
      </w:r>
      <w:r w:rsidR="00925787">
        <w:t>from</w:t>
      </w:r>
      <w:r>
        <w:t xml:space="preserve"> over 300 academic programs</w:t>
      </w:r>
      <w:r w:rsidR="00925787">
        <w:t xml:space="preserve"> and over 100 administrative and academic support units. </w:t>
      </w:r>
      <w:r w:rsidR="009F4C83">
        <w:t xml:space="preserve">Given the number of reports gathered, roughly </w:t>
      </w:r>
      <w:r w:rsidR="004F0F3F">
        <w:t>half of each</w:t>
      </w:r>
      <w:r w:rsidR="009F4C83">
        <w:t xml:space="preserve"> will be selected each year to receive annotated feedbac</w:t>
      </w:r>
      <w:r w:rsidR="000438DD">
        <w:t>k. Selection is based on the previous year’s scored report and/or when scoring last occurred</w:t>
      </w:r>
      <w:r w:rsidR="004447AF">
        <w:t>.</w:t>
      </w:r>
    </w:p>
    <w:p w14:paraId="6CA32A6A" w14:textId="77777777" w:rsidR="00EE2EA1" w:rsidRPr="00C41B2F" w:rsidRDefault="00EE2EA1"/>
    <w:p w14:paraId="1A688865" w14:textId="6DAECCEE" w:rsidR="00C41B2F" w:rsidRPr="00C41B2F" w:rsidRDefault="00C41B2F">
      <w:r w:rsidRPr="00382417">
        <w:rPr>
          <w:u w:val="single"/>
        </w:rPr>
        <w:t>Important Notes</w:t>
      </w:r>
      <w:r w:rsidRPr="00C41B2F">
        <w:t>:</w:t>
      </w:r>
    </w:p>
    <w:p w14:paraId="13E479C4" w14:textId="77777777" w:rsidR="00C41B2F" w:rsidRPr="00C41B2F" w:rsidRDefault="00C41B2F"/>
    <w:p w14:paraId="362646BD" w14:textId="05C23169" w:rsidR="00C41B2F" w:rsidRPr="00C41B2F" w:rsidRDefault="00C41B2F" w:rsidP="00C41B2F">
      <w:pPr>
        <w:pStyle w:val="ListParagraph"/>
        <w:numPr>
          <w:ilvl w:val="0"/>
          <w:numId w:val="11"/>
        </w:numPr>
      </w:pPr>
      <w:r w:rsidRPr="00C41B2F">
        <w:t>A list of incomplete reports is provided to the Provost and Deans of the College and Schools on August 1</w:t>
      </w:r>
      <w:r w:rsidRPr="00C41B2F">
        <w:rPr>
          <w:vertAlign w:val="superscript"/>
        </w:rPr>
        <w:t>st</w:t>
      </w:r>
      <w:r w:rsidR="00AD4957">
        <w:t xml:space="preserve"> annually.</w:t>
      </w:r>
      <w:r w:rsidRPr="00C41B2F">
        <w:br/>
      </w:r>
    </w:p>
    <w:p w14:paraId="6EC9B60C" w14:textId="644D961C" w:rsidR="005F1912" w:rsidRDefault="004F0F3F" w:rsidP="000438DD">
      <w:pPr>
        <w:pStyle w:val="ListParagraph"/>
        <w:numPr>
          <w:ilvl w:val="0"/>
          <w:numId w:val="11"/>
        </w:numPr>
      </w:pPr>
      <w:r>
        <w:t xml:space="preserve">To submit curricular change proposals to the </w:t>
      </w:r>
      <w:hyperlink r:id="rId8" w:history="1">
        <w:r w:rsidRPr="004F0F3F">
          <w:rPr>
            <w:rStyle w:val="Hyperlink"/>
          </w:rPr>
          <w:t>Educational Programs Committee (EPC)</w:t>
        </w:r>
      </w:hyperlink>
      <w:r>
        <w:t>, all programs within the College or Schools must be compliant. The College or School will be put on a temporary moratorium until such time as all programs are compliant with annual reporting requirements.</w:t>
      </w:r>
    </w:p>
    <w:p w14:paraId="5DA86405" w14:textId="77777777" w:rsidR="0055566E" w:rsidRDefault="0055566E" w:rsidP="0055566E"/>
    <w:p w14:paraId="6AFC7605" w14:textId="72488E5B" w:rsidR="0055566E" w:rsidRDefault="0055566E">
      <w:r>
        <w:br w:type="page"/>
      </w:r>
    </w:p>
    <w:p w14:paraId="648A32AA" w14:textId="3432996F" w:rsidR="0055566E" w:rsidRPr="0055566E" w:rsidRDefault="0055566E" w:rsidP="0055566E">
      <w:pPr>
        <w:jc w:val="center"/>
        <w:rPr>
          <w:b/>
          <w:bCs/>
        </w:rPr>
      </w:pPr>
      <w:r w:rsidRPr="0055566E">
        <w:rPr>
          <w:b/>
          <w:bCs/>
        </w:rPr>
        <w:t>Annual Assessment Report Timeline</w:t>
      </w:r>
      <w:r w:rsidR="00834D60">
        <w:rPr>
          <w:b/>
          <w:bCs/>
        </w:rPr>
        <w:t>: Academic Programs</w:t>
      </w:r>
    </w:p>
    <w:p w14:paraId="4F91E472" w14:textId="77777777" w:rsidR="0055566E" w:rsidRDefault="0055566E" w:rsidP="0055566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29"/>
        <w:gridCol w:w="2672"/>
        <w:gridCol w:w="2913"/>
        <w:gridCol w:w="2676"/>
      </w:tblGrid>
      <w:tr w:rsidR="005F1912" w:rsidRPr="004D5C25" w14:paraId="0D2CCEA2" w14:textId="77777777" w:rsidTr="00E64E83">
        <w:trPr>
          <w:tblHeader/>
        </w:trPr>
        <w:tc>
          <w:tcPr>
            <w:tcW w:w="1172" w:type="pct"/>
            <w:shd w:val="clear" w:color="auto" w:fill="A5C9EB" w:themeFill="text2" w:themeFillTint="40"/>
          </w:tcPr>
          <w:p w14:paraId="4512486E" w14:textId="2241343C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697188D0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Phase</w:t>
            </w:r>
          </w:p>
          <w:p w14:paraId="439A8022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38" w:type="pct"/>
            <w:shd w:val="clear" w:color="auto" w:fill="A5C9EB" w:themeFill="text2" w:themeFillTint="40"/>
          </w:tcPr>
          <w:p w14:paraId="193279C3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4075E669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Description</w:t>
            </w:r>
          </w:p>
        </w:tc>
        <w:tc>
          <w:tcPr>
            <w:tcW w:w="1350" w:type="pct"/>
            <w:shd w:val="clear" w:color="auto" w:fill="A5C9EB" w:themeFill="text2" w:themeFillTint="40"/>
          </w:tcPr>
          <w:p w14:paraId="0615294F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74DE6309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Anthology Planning Template</w:t>
            </w:r>
          </w:p>
        </w:tc>
        <w:tc>
          <w:tcPr>
            <w:tcW w:w="1240" w:type="pct"/>
            <w:shd w:val="clear" w:color="auto" w:fill="A5C9EB" w:themeFill="text2" w:themeFillTint="40"/>
          </w:tcPr>
          <w:p w14:paraId="128A37F9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B920DEB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Template Steps to Complete</w:t>
            </w:r>
          </w:p>
        </w:tc>
      </w:tr>
      <w:tr w:rsidR="005F1912" w:rsidRPr="004D5C25" w14:paraId="57874117" w14:textId="77777777" w:rsidTr="00E64E83">
        <w:trPr>
          <w:tblHeader/>
        </w:trPr>
        <w:tc>
          <w:tcPr>
            <w:tcW w:w="1172" w:type="pct"/>
            <w:shd w:val="clear" w:color="auto" w:fill="DAE9F7" w:themeFill="text2" w:themeFillTint="1A"/>
            <w:vAlign w:val="center"/>
          </w:tcPr>
          <w:p w14:paraId="0AFFE3AA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Plan</w:t>
            </w:r>
            <w:r w:rsidRPr="004D5C25">
              <w:rPr>
                <w:b/>
                <w:bCs/>
                <w:sz w:val="21"/>
                <w:szCs w:val="21"/>
              </w:rPr>
              <w:br/>
              <w:t>(August – October)</w:t>
            </w:r>
          </w:p>
        </w:tc>
        <w:tc>
          <w:tcPr>
            <w:tcW w:w="1238" w:type="pct"/>
            <w:shd w:val="clear" w:color="auto" w:fill="DAE9F7" w:themeFill="text2" w:themeFillTint="1A"/>
          </w:tcPr>
          <w:p w14:paraId="15CD96D3" w14:textId="77777777" w:rsidR="005F1912" w:rsidRPr="004D5C25" w:rsidRDefault="005F1912" w:rsidP="00E64E83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Review and/or update program mission statement, student learning outcomes, program goals and their associated measures and targets.</w:t>
            </w:r>
          </w:p>
        </w:tc>
        <w:tc>
          <w:tcPr>
            <w:tcW w:w="1350" w:type="pct"/>
            <w:shd w:val="clear" w:color="auto" w:fill="DAE9F7" w:themeFill="text2" w:themeFillTint="1A"/>
          </w:tcPr>
          <w:p w14:paraId="0B1FDA9F" w14:textId="77777777" w:rsidR="005F1912" w:rsidRPr="004D5C25" w:rsidRDefault="005F1912" w:rsidP="00E64E83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Mission Statement</w:t>
            </w:r>
          </w:p>
          <w:p w14:paraId="6012C18E" w14:textId="77777777" w:rsidR="005F1912" w:rsidRPr="004D5C25" w:rsidRDefault="005F1912" w:rsidP="00E64E83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Student Learning Outcomes (SLOs)</w:t>
            </w:r>
            <w:r w:rsidRPr="004D5C25">
              <w:rPr>
                <w:sz w:val="21"/>
                <w:szCs w:val="21"/>
              </w:rPr>
              <w:br/>
            </w:r>
            <w:r w:rsidRPr="004D5C25">
              <w:rPr>
                <w:sz w:val="21"/>
                <w:szCs w:val="21"/>
              </w:rPr>
              <w:br/>
            </w:r>
            <w:r w:rsidRPr="004D5C25">
              <w:rPr>
                <w:sz w:val="21"/>
                <w:szCs w:val="21"/>
              </w:rPr>
              <w:br/>
            </w:r>
          </w:p>
          <w:p w14:paraId="4A983C7A" w14:textId="77777777" w:rsidR="005F1912" w:rsidRPr="004D5C25" w:rsidRDefault="005F1912" w:rsidP="00E64E83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Program Goals (PGs)</w:t>
            </w:r>
          </w:p>
        </w:tc>
        <w:tc>
          <w:tcPr>
            <w:tcW w:w="1240" w:type="pct"/>
            <w:shd w:val="clear" w:color="auto" w:fill="DAE9F7" w:themeFill="text2" w:themeFillTint="1A"/>
          </w:tcPr>
          <w:p w14:paraId="4D54F0A2" w14:textId="77777777" w:rsidR="005F1912" w:rsidRPr="004D5C25" w:rsidRDefault="005F1912" w:rsidP="00E64E83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All fields.</w:t>
            </w:r>
          </w:p>
          <w:p w14:paraId="4EA0484C" w14:textId="77777777" w:rsidR="005F1912" w:rsidRPr="004D5C25" w:rsidRDefault="005F1912" w:rsidP="00E64E83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 xml:space="preserve">Steps 1A – 3A and Progress (change status to </w:t>
            </w:r>
            <w:r w:rsidRPr="004D5C25">
              <w:rPr>
                <w:i/>
                <w:iCs/>
                <w:sz w:val="21"/>
                <w:szCs w:val="21"/>
              </w:rPr>
              <w:t>In Progress</w:t>
            </w:r>
            <w:r w:rsidRPr="004D5C25">
              <w:rPr>
                <w:sz w:val="21"/>
                <w:szCs w:val="21"/>
              </w:rPr>
              <w:t xml:space="preserve"> once initial review is complete)</w:t>
            </w:r>
          </w:p>
          <w:p w14:paraId="76027674" w14:textId="77777777" w:rsidR="005F1912" w:rsidRPr="004D5C25" w:rsidRDefault="005F1912" w:rsidP="00E64E83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 xml:space="preserve">Steps 1A – 3A and Progress (change status to </w:t>
            </w:r>
            <w:r w:rsidRPr="004D5C25">
              <w:rPr>
                <w:i/>
                <w:iCs/>
                <w:sz w:val="21"/>
                <w:szCs w:val="21"/>
              </w:rPr>
              <w:t>In Progress</w:t>
            </w:r>
            <w:r w:rsidRPr="004D5C25">
              <w:rPr>
                <w:sz w:val="21"/>
                <w:szCs w:val="21"/>
              </w:rPr>
              <w:t xml:space="preserve"> once initial review is complete)</w:t>
            </w:r>
          </w:p>
        </w:tc>
      </w:tr>
      <w:tr w:rsidR="005F1912" w:rsidRPr="004D5C25" w14:paraId="27457ADB" w14:textId="77777777" w:rsidTr="00E64E83">
        <w:trPr>
          <w:tblHeader/>
        </w:trPr>
        <w:tc>
          <w:tcPr>
            <w:tcW w:w="1172" w:type="pct"/>
            <w:shd w:val="clear" w:color="auto" w:fill="A5C9EB" w:themeFill="text2" w:themeFillTint="40"/>
            <w:vAlign w:val="center"/>
          </w:tcPr>
          <w:p w14:paraId="7AD9006B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Do</w:t>
            </w:r>
            <w:r w:rsidRPr="004D5C25">
              <w:rPr>
                <w:b/>
                <w:bCs/>
                <w:sz w:val="21"/>
                <w:szCs w:val="21"/>
              </w:rPr>
              <w:br/>
              <w:t>(all year)</w:t>
            </w:r>
          </w:p>
        </w:tc>
        <w:tc>
          <w:tcPr>
            <w:tcW w:w="1238" w:type="pct"/>
            <w:shd w:val="clear" w:color="auto" w:fill="A5C9EB" w:themeFill="text2" w:themeFillTint="40"/>
          </w:tcPr>
          <w:p w14:paraId="71F20CBE" w14:textId="77777777" w:rsidR="005F1912" w:rsidRPr="004D5C25" w:rsidRDefault="005F1912" w:rsidP="00E64E83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Collect data for the student learning outcomes and program goals being evaluated.</w:t>
            </w:r>
          </w:p>
        </w:tc>
        <w:tc>
          <w:tcPr>
            <w:tcW w:w="1350" w:type="pct"/>
            <w:shd w:val="clear" w:color="auto" w:fill="A5C9EB" w:themeFill="text2" w:themeFillTint="40"/>
            <w:vAlign w:val="center"/>
          </w:tcPr>
          <w:p w14:paraId="6DDFC93C" w14:textId="77777777" w:rsidR="005F1912" w:rsidRPr="004D5C25" w:rsidRDefault="005F1912" w:rsidP="00E64E83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Not Applicable</w:t>
            </w:r>
          </w:p>
        </w:tc>
        <w:tc>
          <w:tcPr>
            <w:tcW w:w="1240" w:type="pct"/>
            <w:shd w:val="clear" w:color="auto" w:fill="A5C9EB" w:themeFill="text2" w:themeFillTint="40"/>
            <w:vAlign w:val="center"/>
          </w:tcPr>
          <w:p w14:paraId="3D37F882" w14:textId="77777777" w:rsidR="005F1912" w:rsidRPr="004D5C25" w:rsidRDefault="005F1912" w:rsidP="00E64E83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Not Applicable</w:t>
            </w:r>
          </w:p>
        </w:tc>
      </w:tr>
      <w:tr w:rsidR="005F1912" w:rsidRPr="004D5C25" w14:paraId="340EA8A7" w14:textId="77777777" w:rsidTr="00E64E83">
        <w:trPr>
          <w:tblHeader/>
        </w:trPr>
        <w:tc>
          <w:tcPr>
            <w:tcW w:w="1172" w:type="pct"/>
            <w:shd w:val="clear" w:color="auto" w:fill="DAE9F7" w:themeFill="text2" w:themeFillTint="1A"/>
            <w:vAlign w:val="center"/>
          </w:tcPr>
          <w:p w14:paraId="2F86DF0E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Check</w:t>
            </w:r>
            <w:r w:rsidRPr="004D5C25">
              <w:rPr>
                <w:b/>
                <w:bCs/>
                <w:sz w:val="21"/>
                <w:szCs w:val="21"/>
              </w:rPr>
              <w:br/>
              <w:t>(January and June)</w:t>
            </w:r>
          </w:p>
        </w:tc>
        <w:tc>
          <w:tcPr>
            <w:tcW w:w="1238" w:type="pct"/>
            <w:shd w:val="clear" w:color="auto" w:fill="DAE9F7" w:themeFill="text2" w:themeFillTint="1A"/>
          </w:tcPr>
          <w:p w14:paraId="6427D81A" w14:textId="77777777" w:rsidR="005F1912" w:rsidRPr="004D5C25" w:rsidRDefault="005F1912" w:rsidP="00E64E83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Review results and reflect on findings for the student learning outcomes and program goals being evaluated.</w:t>
            </w:r>
          </w:p>
        </w:tc>
        <w:tc>
          <w:tcPr>
            <w:tcW w:w="1350" w:type="pct"/>
            <w:shd w:val="clear" w:color="auto" w:fill="DAE9F7" w:themeFill="text2" w:themeFillTint="1A"/>
          </w:tcPr>
          <w:p w14:paraId="679A4A3D" w14:textId="77777777" w:rsidR="005F1912" w:rsidRPr="004D5C25" w:rsidRDefault="005F1912" w:rsidP="00E64E8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Student Learning Outcomes (SLOs)</w:t>
            </w:r>
          </w:p>
          <w:p w14:paraId="251EFC79" w14:textId="77777777" w:rsidR="005F1912" w:rsidRPr="004D5C25" w:rsidRDefault="005F1912" w:rsidP="00E64E8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Program Goals (PGs)</w:t>
            </w:r>
          </w:p>
        </w:tc>
        <w:tc>
          <w:tcPr>
            <w:tcW w:w="1240" w:type="pct"/>
            <w:shd w:val="clear" w:color="auto" w:fill="DAE9F7" w:themeFill="text2" w:themeFillTint="1A"/>
          </w:tcPr>
          <w:p w14:paraId="30C88087" w14:textId="77777777" w:rsidR="005F1912" w:rsidRPr="004D5C25" w:rsidRDefault="005F1912" w:rsidP="00E64E83">
            <w:pPr>
              <w:pStyle w:val="ListParagraph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Steps 4A – 4C</w:t>
            </w:r>
            <w:r w:rsidRPr="004D5C25">
              <w:rPr>
                <w:sz w:val="21"/>
                <w:szCs w:val="21"/>
              </w:rPr>
              <w:br/>
            </w:r>
          </w:p>
          <w:p w14:paraId="16F79B54" w14:textId="77777777" w:rsidR="005F1912" w:rsidRPr="004D5C25" w:rsidRDefault="005F1912" w:rsidP="00E64E83">
            <w:pPr>
              <w:pStyle w:val="ListParagraph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Steps 4A – 4C</w:t>
            </w:r>
          </w:p>
        </w:tc>
      </w:tr>
      <w:tr w:rsidR="005F1912" w:rsidRPr="004D5C25" w14:paraId="1525492C" w14:textId="77777777" w:rsidTr="00E64E83">
        <w:trPr>
          <w:tblHeader/>
        </w:trPr>
        <w:tc>
          <w:tcPr>
            <w:tcW w:w="1172" w:type="pct"/>
            <w:shd w:val="clear" w:color="auto" w:fill="A5C9EB" w:themeFill="text2" w:themeFillTint="40"/>
            <w:vAlign w:val="center"/>
          </w:tcPr>
          <w:p w14:paraId="3168DEEB" w14:textId="77777777" w:rsidR="005F1912" w:rsidRPr="004D5C25" w:rsidRDefault="005F1912" w:rsidP="00E64E83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Act</w:t>
            </w:r>
            <w:r w:rsidRPr="004D5C25">
              <w:rPr>
                <w:b/>
                <w:bCs/>
                <w:sz w:val="21"/>
                <w:szCs w:val="21"/>
              </w:rPr>
              <w:br/>
              <w:t>(May – July)</w:t>
            </w:r>
          </w:p>
        </w:tc>
        <w:tc>
          <w:tcPr>
            <w:tcW w:w="1238" w:type="pct"/>
            <w:shd w:val="clear" w:color="auto" w:fill="A5C9EB" w:themeFill="text2" w:themeFillTint="40"/>
          </w:tcPr>
          <w:p w14:paraId="1F3CA574" w14:textId="77777777" w:rsidR="005F1912" w:rsidRPr="004D5C25" w:rsidRDefault="005F1912" w:rsidP="00E64E83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Establish and implement action plans for unmet targets and provide a status update on the previous year's action plan(s). If all targets are met, establish at least one action plan for one of the outcomes.</w:t>
            </w:r>
          </w:p>
        </w:tc>
        <w:tc>
          <w:tcPr>
            <w:tcW w:w="1350" w:type="pct"/>
            <w:shd w:val="clear" w:color="auto" w:fill="A5C9EB" w:themeFill="text2" w:themeFillTint="40"/>
          </w:tcPr>
          <w:p w14:paraId="74A422F0" w14:textId="77777777" w:rsidR="005F1912" w:rsidRPr="004D5C25" w:rsidRDefault="005F1912" w:rsidP="00E64E83">
            <w:pPr>
              <w:pStyle w:val="ListParagraph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Student Learning Outcomes (SLOs)</w:t>
            </w:r>
            <w:r w:rsidRPr="004D5C25">
              <w:rPr>
                <w:sz w:val="21"/>
                <w:szCs w:val="21"/>
              </w:rPr>
              <w:br/>
            </w:r>
            <w:r w:rsidRPr="004D5C25">
              <w:rPr>
                <w:sz w:val="21"/>
                <w:szCs w:val="21"/>
              </w:rPr>
              <w:br/>
            </w:r>
            <w:r w:rsidRPr="004D5C25">
              <w:rPr>
                <w:sz w:val="21"/>
                <w:szCs w:val="21"/>
              </w:rPr>
              <w:br/>
            </w:r>
          </w:p>
          <w:p w14:paraId="57DD3C2F" w14:textId="77777777" w:rsidR="005F1912" w:rsidRPr="004D5C25" w:rsidRDefault="005F1912" w:rsidP="00E64E83">
            <w:pPr>
              <w:pStyle w:val="ListParagraph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Program Goals (PGs)</w:t>
            </w:r>
          </w:p>
        </w:tc>
        <w:tc>
          <w:tcPr>
            <w:tcW w:w="1240" w:type="pct"/>
            <w:shd w:val="clear" w:color="auto" w:fill="A5C9EB" w:themeFill="text2" w:themeFillTint="40"/>
          </w:tcPr>
          <w:p w14:paraId="5D5ABF99" w14:textId="77777777" w:rsidR="005F1912" w:rsidRPr="004D5C25" w:rsidRDefault="005F1912" w:rsidP="00E64E83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 xml:space="preserve">Steps 5A – 6B and Progress (change status from </w:t>
            </w:r>
            <w:r w:rsidRPr="004D5C25">
              <w:rPr>
                <w:i/>
                <w:iCs/>
                <w:sz w:val="21"/>
                <w:szCs w:val="21"/>
              </w:rPr>
              <w:t>In Progress</w:t>
            </w:r>
            <w:r w:rsidRPr="004D5C25">
              <w:rPr>
                <w:sz w:val="21"/>
                <w:szCs w:val="21"/>
              </w:rPr>
              <w:t xml:space="preserve"> to </w:t>
            </w:r>
            <w:r w:rsidRPr="004D5C25">
              <w:rPr>
                <w:i/>
                <w:iCs/>
                <w:sz w:val="21"/>
                <w:szCs w:val="21"/>
              </w:rPr>
              <w:t>Complete</w:t>
            </w:r>
            <w:r w:rsidRPr="004D5C25">
              <w:rPr>
                <w:sz w:val="21"/>
                <w:szCs w:val="21"/>
              </w:rPr>
              <w:t xml:space="preserve"> when SLO reporting is finalized)</w:t>
            </w:r>
          </w:p>
          <w:p w14:paraId="7D753954" w14:textId="77777777" w:rsidR="005F1912" w:rsidRPr="004D5C25" w:rsidRDefault="005F1912" w:rsidP="00E64E83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 xml:space="preserve">Steps 5A – 6B and Progress (change status from </w:t>
            </w:r>
            <w:r w:rsidRPr="004D5C25">
              <w:rPr>
                <w:i/>
                <w:iCs/>
                <w:sz w:val="21"/>
                <w:szCs w:val="21"/>
              </w:rPr>
              <w:t>In Progress</w:t>
            </w:r>
            <w:r w:rsidRPr="004D5C25">
              <w:rPr>
                <w:sz w:val="21"/>
                <w:szCs w:val="21"/>
              </w:rPr>
              <w:t xml:space="preserve"> to </w:t>
            </w:r>
            <w:r w:rsidRPr="004D5C25">
              <w:rPr>
                <w:i/>
                <w:iCs/>
                <w:sz w:val="21"/>
                <w:szCs w:val="21"/>
              </w:rPr>
              <w:t>Complete</w:t>
            </w:r>
            <w:r w:rsidRPr="004D5C25">
              <w:rPr>
                <w:sz w:val="21"/>
                <w:szCs w:val="21"/>
              </w:rPr>
              <w:t xml:space="preserve"> when PG reporting is finalized)</w:t>
            </w:r>
          </w:p>
        </w:tc>
      </w:tr>
      <w:tr w:rsidR="004D5C25" w:rsidRPr="004D5C25" w14:paraId="580A2368" w14:textId="77777777" w:rsidTr="00A15FBC">
        <w:trPr>
          <w:tblHeader/>
        </w:trPr>
        <w:tc>
          <w:tcPr>
            <w:tcW w:w="1172" w:type="pct"/>
            <w:shd w:val="clear" w:color="auto" w:fill="DAE9F7" w:themeFill="text2" w:themeFillTint="1A"/>
            <w:vAlign w:val="center"/>
          </w:tcPr>
          <w:p w14:paraId="1C15A7D9" w14:textId="1230A123" w:rsidR="004D5C25" w:rsidRPr="004D5C25" w:rsidRDefault="004D5C25" w:rsidP="004D5C25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Feedback</w:t>
            </w:r>
            <w:r w:rsidRPr="004D5C25">
              <w:rPr>
                <w:b/>
                <w:bCs/>
                <w:sz w:val="21"/>
                <w:szCs w:val="21"/>
              </w:rPr>
              <w:br/>
              <w:t>(August – October</w:t>
            </w:r>
            <w:r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3828" w:type="pct"/>
            <w:gridSpan w:val="3"/>
            <w:shd w:val="clear" w:color="auto" w:fill="DAE9F7" w:themeFill="text2" w:themeFillTint="1A"/>
            <w:vAlign w:val="center"/>
          </w:tcPr>
          <w:p w14:paraId="1E8E66CA" w14:textId="51473CC6" w:rsidR="004D5C25" w:rsidRPr="004D5C25" w:rsidRDefault="004D5C25" w:rsidP="004D5C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br/>
            </w:r>
            <w:r w:rsidRPr="004D5C25">
              <w:rPr>
                <w:sz w:val="21"/>
                <w:szCs w:val="21"/>
              </w:rPr>
              <w:t xml:space="preserve">The Office of Institutional Planning and Effectiveness (IPE) reviews and provides annotated feedback for selected academic programs. This feedback will be included in the Assessment Plan &amp; Report Feedback template in Planning along with a copy of the </w:t>
            </w:r>
            <w:r w:rsidR="005E3CD2">
              <w:rPr>
                <w:sz w:val="21"/>
                <w:szCs w:val="21"/>
              </w:rPr>
              <w:t xml:space="preserve">scoring </w:t>
            </w:r>
            <w:r w:rsidRPr="004D5C25">
              <w:rPr>
                <w:sz w:val="21"/>
                <w:szCs w:val="21"/>
              </w:rPr>
              <w:t>rubric.</w:t>
            </w:r>
            <w:r>
              <w:rPr>
                <w:sz w:val="21"/>
                <w:szCs w:val="21"/>
              </w:rPr>
              <w:br/>
            </w:r>
          </w:p>
        </w:tc>
      </w:tr>
      <w:tr w:rsidR="004D5C25" w:rsidRPr="004D5C25" w14:paraId="5BDF0BCD" w14:textId="77777777" w:rsidTr="00B05760">
        <w:trPr>
          <w:tblHeader/>
        </w:trPr>
        <w:tc>
          <w:tcPr>
            <w:tcW w:w="1172" w:type="pct"/>
            <w:shd w:val="clear" w:color="auto" w:fill="A5C9EB" w:themeFill="text2" w:themeFillTint="40"/>
            <w:vAlign w:val="center"/>
          </w:tcPr>
          <w:p w14:paraId="40B85E6F" w14:textId="532EF538" w:rsidR="004D5C25" w:rsidRPr="004D5C25" w:rsidRDefault="004D5C25" w:rsidP="004D5C25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br/>
              <w:t>Review</w:t>
            </w:r>
            <w:r w:rsidRPr="004D5C25">
              <w:rPr>
                <w:b/>
                <w:bCs/>
                <w:sz w:val="21"/>
                <w:szCs w:val="21"/>
              </w:rPr>
              <w:br/>
              <w:t>(November – December)</w:t>
            </w:r>
            <w:r w:rsidRPr="004D5C25">
              <w:rPr>
                <w:b/>
                <w:bCs/>
                <w:sz w:val="21"/>
                <w:szCs w:val="21"/>
              </w:rPr>
              <w:br/>
            </w:r>
          </w:p>
        </w:tc>
        <w:tc>
          <w:tcPr>
            <w:tcW w:w="3828" w:type="pct"/>
            <w:gridSpan w:val="3"/>
            <w:shd w:val="clear" w:color="auto" w:fill="A5C9EB" w:themeFill="text2" w:themeFillTint="40"/>
            <w:vAlign w:val="center"/>
          </w:tcPr>
          <w:p w14:paraId="51E867B2" w14:textId="4B825104" w:rsidR="004D5C25" w:rsidRPr="004D5C25" w:rsidRDefault="004D5C25" w:rsidP="004D5C25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Academic programs review annotated feedback to prepare for required spring debriefing sessions. Registration for debriefing sessions should be available by mid-November.</w:t>
            </w:r>
          </w:p>
        </w:tc>
      </w:tr>
      <w:tr w:rsidR="004D5C25" w:rsidRPr="004D5C25" w14:paraId="1C75A7DA" w14:textId="77777777" w:rsidTr="00AD6EB5">
        <w:trPr>
          <w:tblHeader/>
        </w:trPr>
        <w:tc>
          <w:tcPr>
            <w:tcW w:w="1172" w:type="pct"/>
            <w:shd w:val="clear" w:color="auto" w:fill="DAE9F7" w:themeFill="text2" w:themeFillTint="1A"/>
            <w:vAlign w:val="center"/>
          </w:tcPr>
          <w:p w14:paraId="59775D86" w14:textId="007B8382" w:rsidR="004D5C25" w:rsidRPr="004D5C25" w:rsidRDefault="004D5C25" w:rsidP="004D5C25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br/>
              <w:t>Debrief</w:t>
            </w:r>
            <w:r w:rsidRPr="004D5C25">
              <w:rPr>
                <w:b/>
                <w:bCs/>
                <w:sz w:val="21"/>
                <w:szCs w:val="21"/>
              </w:rPr>
              <w:br/>
              <w:t xml:space="preserve">(January – </w:t>
            </w:r>
            <w:r w:rsidR="004F0F3F">
              <w:rPr>
                <w:b/>
                <w:bCs/>
                <w:sz w:val="21"/>
                <w:szCs w:val="21"/>
              </w:rPr>
              <w:t>March</w:t>
            </w:r>
            <w:r w:rsidRPr="004D5C25">
              <w:rPr>
                <w:b/>
                <w:bCs/>
                <w:sz w:val="21"/>
                <w:szCs w:val="21"/>
              </w:rPr>
              <w:t>)</w:t>
            </w:r>
            <w:r w:rsidRPr="004D5C25">
              <w:rPr>
                <w:b/>
                <w:bCs/>
                <w:sz w:val="21"/>
                <w:szCs w:val="21"/>
              </w:rPr>
              <w:br/>
            </w:r>
          </w:p>
        </w:tc>
        <w:tc>
          <w:tcPr>
            <w:tcW w:w="3828" w:type="pct"/>
            <w:gridSpan w:val="3"/>
            <w:shd w:val="clear" w:color="auto" w:fill="DAE9F7" w:themeFill="text2" w:themeFillTint="1A"/>
            <w:vAlign w:val="center"/>
          </w:tcPr>
          <w:p w14:paraId="534BC29B" w14:textId="7BAC0C0E" w:rsidR="004D5C25" w:rsidRPr="004D5C25" w:rsidRDefault="004D5C25" w:rsidP="004D5C25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The Office of Institutional Planning and Effectiveness (IPE) meets with selected academic programs to discuss feedback.</w:t>
            </w:r>
          </w:p>
        </w:tc>
      </w:tr>
      <w:tr w:rsidR="004D5C25" w:rsidRPr="004D5C25" w14:paraId="4F6C1B18" w14:textId="77777777" w:rsidTr="008670B3">
        <w:trPr>
          <w:tblHeader/>
        </w:trPr>
        <w:tc>
          <w:tcPr>
            <w:tcW w:w="1172" w:type="pct"/>
            <w:shd w:val="clear" w:color="auto" w:fill="A5C9EB" w:themeFill="text2" w:themeFillTint="40"/>
            <w:vAlign w:val="center"/>
          </w:tcPr>
          <w:p w14:paraId="49CD264A" w14:textId="77777777" w:rsidR="004D5C25" w:rsidRPr="004D5C25" w:rsidRDefault="004D5C25" w:rsidP="004D5C25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br/>
              <w:t>Revise</w:t>
            </w:r>
          </w:p>
          <w:p w14:paraId="181827E5" w14:textId="5E42CA1C" w:rsidR="004D5C25" w:rsidRPr="004D5C25" w:rsidRDefault="004D5C25" w:rsidP="004D5C25">
            <w:pPr>
              <w:jc w:val="center"/>
              <w:rPr>
                <w:b/>
                <w:bCs/>
                <w:sz w:val="21"/>
                <w:szCs w:val="21"/>
              </w:rPr>
            </w:pPr>
            <w:r w:rsidRPr="004D5C25">
              <w:rPr>
                <w:b/>
                <w:bCs/>
                <w:sz w:val="21"/>
                <w:szCs w:val="21"/>
              </w:rPr>
              <w:t>(January – May)</w:t>
            </w:r>
            <w:r w:rsidRPr="004D5C25">
              <w:rPr>
                <w:b/>
                <w:bCs/>
                <w:sz w:val="21"/>
                <w:szCs w:val="21"/>
              </w:rPr>
              <w:br/>
            </w:r>
          </w:p>
        </w:tc>
        <w:tc>
          <w:tcPr>
            <w:tcW w:w="3828" w:type="pct"/>
            <w:gridSpan w:val="3"/>
            <w:shd w:val="clear" w:color="auto" w:fill="A5C9EB" w:themeFill="text2" w:themeFillTint="40"/>
            <w:vAlign w:val="center"/>
          </w:tcPr>
          <w:p w14:paraId="71BF3549" w14:textId="43507D39" w:rsidR="004D5C25" w:rsidRPr="004D5C25" w:rsidRDefault="004D5C25" w:rsidP="004D5C25">
            <w:pPr>
              <w:rPr>
                <w:sz w:val="21"/>
                <w:szCs w:val="21"/>
              </w:rPr>
            </w:pPr>
            <w:r w:rsidRPr="004D5C25">
              <w:rPr>
                <w:sz w:val="21"/>
                <w:szCs w:val="21"/>
              </w:rPr>
              <w:t>Academic programs revise the previous year’s assessment report and upcoming assessment report based on annotated feedback and debriefing discussion.</w:t>
            </w:r>
          </w:p>
        </w:tc>
      </w:tr>
    </w:tbl>
    <w:p w14:paraId="291805E5" w14:textId="77777777" w:rsidR="005F1912" w:rsidRPr="00C41B2F" w:rsidRDefault="005F1912" w:rsidP="005F1912"/>
    <w:sectPr w:rsidR="005F1912" w:rsidRPr="00C41B2F" w:rsidSect="00D7166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65C4C" w14:textId="77777777" w:rsidR="00B6604F" w:rsidRDefault="00B6604F" w:rsidP="00243272">
      <w:r>
        <w:separator/>
      </w:r>
    </w:p>
  </w:endnote>
  <w:endnote w:type="continuationSeparator" w:id="0">
    <w:p w14:paraId="272BF21F" w14:textId="77777777" w:rsidR="00B6604F" w:rsidRDefault="00B6604F" w:rsidP="0024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14EA" w14:textId="6DDEB8C7" w:rsidR="006F4C2F" w:rsidRPr="006F4C2F" w:rsidRDefault="006F4C2F" w:rsidP="006F4C2F">
    <w:pPr>
      <w:pStyle w:val="Footer"/>
      <w:jc w:val="right"/>
      <w:rPr>
        <w:i/>
        <w:iCs/>
        <w:sz w:val="20"/>
        <w:szCs w:val="20"/>
      </w:rPr>
    </w:pPr>
    <w:r w:rsidRPr="006F4C2F">
      <w:rPr>
        <w:i/>
        <w:iCs/>
        <w:sz w:val="20"/>
        <w:szCs w:val="20"/>
      </w:rPr>
      <w:t>Institutional Planning and Effectiveness</w:t>
    </w:r>
    <w:r w:rsidRPr="006F4C2F">
      <w:rPr>
        <w:i/>
        <w:iCs/>
        <w:sz w:val="20"/>
        <w:szCs w:val="20"/>
      </w:rPr>
      <w:tab/>
      <w:t xml:space="preserve">                                                                                      </w:t>
    </w:r>
    <w:r w:rsidRPr="006F4C2F">
      <w:rPr>
        <w:i/>
        <w:iCs/>
        <w:sz w:val="20"/>
        <w:szCs w:val="20"/>
      </w:rPr>
      <w:tab/>
      <w:t xml:space="preserve">Last Updated </w:t>
    </w:r>
    <w:r w:rsidR="00D30794">
      <w:rPr>
        <w:i/>
        <w:iCs/>
        <w:sz w:val="20"/>
        <w:szCs w:val="20"/>
      </w:rPr>
      <w:t>June 12</w:t>
    </w:r>
    <w:r w:rsidRPr="006F4C2F">
      <w:rPr>
        <w:i/>
        <w:iCs/>
        <w:sz w:val="20"/>
        <w:szCs w:val="20"/>
      </w:rPr>
      <w:t>, 202</w:t>
    </w:r>
    <w:r w:rsidR="00D30794">
      <w:rPr>
        <w:i/>
        <w:iCs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F019" w14:textId="77777777" w:rsidR="00B6604F" w:rsidRDefault="00B6604F" w:rsidP="00243272">
      <w:r>
        <w:separator/>
      </w:r>
    </w:p>
  </w:footnote>
  <w:footnote w:type="continuationSeparator" w:id="0">
    <w:p w14:paraId="035A70A5" w14:textId="77777777" w:rsidR="00B6604F" w:rsidRDefault="00B6604F" w:rsidP="00243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672"/>
    <w:multiLevelType w:val="hybridMultilevel"/>
    <w:tmpl w:val="9266E7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523DF"/>
    <w:multiLevelType w:val="hybridMultilevel"/>
    <w:tmpl w:val="F3DA85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5A0821"/>
    <w:multiLevelType w:val="hybridMultilevel"/>
    <w:tmpl w:val="F3DA85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90D39"/>
    <w:multiLevelType w:val="hybridMultilevel"/>
    <w:tmpl w:val="F3DA85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6639A9"/>
    <w:multiLevelType w:val="hybridMultilevel"/>
    <w:tmpl w:val="48180F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6849D6"/>
    <w:multiLevelType w:val="hybridMultilevel"/>
    <w:tmpl w:val="F3DA85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924AE7"/>
    <w:multiLevelType w:val="hybridMultilevel"/>
    <w:tmpl w:val="9266E7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B125F7"/>
    <w:multiLevelType w:val="hybridMultilevel"/>
    <w:tmpl w:val="F3DA85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E24ED2"/>
    <w:multiLevelType w:val="hybridMultilevel"/>
    <w:tmpl w:val="48180F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540F6D"/>
    <w:multiLevelType w:val="hybridMultilevel"/>
    <w:tmpl w:val="9266E7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BD50BF"/>
    <w:multiLevelType w:val="hybridMultilevel"/>
    <w:tmpl w:val="DE0618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5941847">
    <w:abstractNumId w:val="7"/>
  </w:num>
  <w:num w:numId="2" w16cid:durableId="2063867550">
    <w:abstractNumId w:val="10"/>
  </w:num>
  <w:num w:numId="3" w16cid:durableId="1832872141">
    <w:abstractNumId w:val="1"/>
  </w:num>
  <w:num w:numId="4" w16cid:durableId="1012608126">
    <w:abstractNumId w:val="6"/>
  </w:num>
  <w:num w:numId="5" w16cid:durableId="14698624">
    <w:abstractNumId w:val="2"/>
  </w:num>
  <w:num w:numId="6" w16cid:durableId="1869636215">
    <w:abstractNumId w:val="9"/>
  </w:num>
  <w:num w:numId="7" w16cid:durableId="1467698852">
    <w:abstractNumId w:val="5"/>
  </w:num>
  <w:num w:numId="8" w16cid:durableId="1962374598">
    <w:abstractNumId w:val="0"/>
  </w:num>
  <w:num w:numId="9" w16cid:durableId="1836258184">
    <w:abstractNumId w:val="3"/>
  </w:num>
  <w:num w:numId="10" w16cid:durableId="2027755580">
    <w:abstractNumId w:val="8"/>
  </w:num>
  <w:num w:numId="11" w16cid:durableId="1173767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55"/>
    <w:rsid w:val="0000660D"/>
    <w:rsid w:val="00012CC7"/>
    <w:rsid w:val="000438DD"/>
    <w:rsid w:val="000A5711"/>
    <w:rsid w:val="000B7CDD"/>
    <w:rsid w:val="000D2BBA"/>
    <w:rsid w:val="000E1B5A"/>
    <w:rsid w:val="0012529C"/>
    <w:rsid w:val="00182592"/>
    <w:rsid w:val="00217C45"/>
    <w:rsid w:val="0022313D"/>
    <w:rsid w:val="00243272"/>
    <w:rsid w:val="00272930"/>
    <w:rsid w:val="002C1392"/>
    <w:rsid w:val="00306A91"/>
    <w:rsid w:val="00310D95"/>
    <w:rsid w:val="00382417"/>
    <w:rsid w:val="003C381C"/>
    <w:rsid w:val="003E40CA"/>
    <w:rsid w:val="00404663"/>
    <w:rsid w:val="0040551D"/>
    <w:rsid w:val="004447AF"/>
    <w:rsid w:val="004B3A33"/>
    <w:rsid w:val="004C797B"/>
    <w:rsid w:val="004D17A8"/>
    <w:rsid w:val="004D5C25"/>
    <w:rsid w:val="004F0F3F"/>
    <w:rsid w:val="00500EB0"/>
    <w:rsid w:val="00553C51"/>
    <w:rsid w:val="0055566E"/>
    <w:rsid w:val="00563E35"/>
    <w:rsid w:val="005E3CD2"/>
    <w:rsid w:val="005E79F3"/>
    <w:rsid w:val="005F1912"/>
    <w:rsid w:val="00607309"/>
    <w:rsid w:val="006D1DFF"/>
    <w:rsid w:val="006F4C2F"/>
    <w:rsid w:val="00720743"/>
    <w:rsid w:val="007A709A"/>
    <w:rsid w:val="007B195F"/>
    <w:rsid w:val="007F64E0"/>
    <w:rsid w:val="00834D60"/>
    <w:rsid w:val="008858B0"/>
    <w:rsid w:val="009146A0"/>
    <w:rsid w:val="00925787"/>
    <w:rsid w:val="00927F64"/>
    <w:rsid w:val="00981EBB"/>
    <w:rsid w:val="009864E0"/>
    <w:rsid w:val="009F4C83"/>
    <w:rsid w:val="00A77CB6"/>
    <w:rsid w:val="00AB5C6A"/>
    <w:rsid w:val="00AC0A88"/>
    <w:rsid w:val="00AD4957"/>
    <w:rsid w:val="00B64623"/>
    <w:rsid w:val="00B6604F"/>
    <w:rsid w:val="00B903C5"/>
    <w:rsid w:val="00BA25BC"/>
    <w:rsid w:val="00BE793D"/>
    <w:rsid w:val="00BF01DC"/>
    <w:rsid w:val="00C317F6"/>
    <w:rsid w:val="00C41B2F"/>
    <w:rsid w:val="00C6572E"/>
    <w:rsid w:val="00C91D75"/>
    <w:rsid w:val="00CC2884"/>
    <w:rsid w:val="00CF5101"/>
    <w:rsid w:val="00D07B81"/>
    <w:rsid w:val="00D30794"/>
    <w:rsid w:val="00D43356"/>
    <w:rsid w:val="00D71668"/>
    <w:rsid w:val="00DA1B55"/>
    <w:rsid w:val="00E02973"/>
    <w:rsid w:val="00E96F3C"/>
    <w:rsid w:val="00EA6232"/>
    <w:rsid w:val="00ED046D"/>
    <w:rsid w:val="00EE176B"/>
    <w:rsid w:val="00EE2EA1"/>
    <w:rsid w:val="00F013DF"/>
    <w:rsid w:val="00F5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24DCC"/>
  <w15:chartTrackingRefBased/>
  <w15:docId w15:val="{E480C8DE-AF90-42D6-85A7-FCEABF0A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B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B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B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B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B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B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B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B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1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272"/>
  </w:style>
  <w:style w:type="paragraph" w:styleId="Footer">
    <w:name w:val="footer"/>
    <w:basedOn w:val="Normal"/>
    <w:link w:val="FooterChar"/>
    <w:uiPriority w:val="99"/>
    <w:unhideWhenUsed/>
    <w:rsid w:val="00243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272"/>
  </w:style>
  <w:style w:type="character" w:styleId="Hyperlink">
    <w:name w:val="Hyperlink"/>
    <w:basedOn w:val="DefaultParagraphFont"/>
    <w:uiPriority w:val="99"/>
    <w:unhideWhenUsed/>
    <w:rsid w:val="004D5C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u.edu/provost/assessment/approvals/ep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mu.edu/provost/assessment/assessment/academicprograms/exempla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Guelker, Brooke</dc:creator>
  <cp:keywords/>
  <dc:description/>
  <cp:lastModifiedBy>Guelker, Brooke</cp:lastModifiedBy>
  <cp:revision>46</cp:revision>
  <cp:lastPrinted>2024-08-12T17:38:00Z</cp:lastPrinted>
  <dcterms:created xsi:type="dcterms:W3CDTF">2024-08-08T15:52:00Z</dcterms:created>
  <dcterms:modified xsi:type="dcterms:W3CDTF">2025-06-12T14:00:00Z</dcterms:modified>
</cp:coreProperties>
</file>